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bin"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harts/chart.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F7F9F" w:rsidR="00C13176" w:rsidP="00997C65" w:rsidRDefault="00C13176" w14:paraId="4A744201" w14:textId="77777777">
      <w:pPr>
        <w:pStyle w:val="Title"/>
        <w:rPr>
          <w:sz w:val="52"/>
          <w:szCs w:val="52"/>
        </w:rPr>
      </w:pPr>
      <w:bookmarkStart w:name="_Toc181062095" w:id="0"/>
      <w:bookmarkStart w:name="_Toc182802456" w:id="1"/>
      <w:bookmarkStart w:name="_Toc183415448" w:id="2"/>
      <w:bookmarkStart w:name="_Toc188254138" w:id="3"/>
      <w:bookmarkStart w:name="_Toc188254375" w:id="4"/>
      <w:r w:rsidRPr="008F7F9F">
        <w:rPr>
          <w:sz w:val="52"/>
          <w:szCs w:val="52"/>
        </w:rPr>
        <w:t>Greenhouse Gas Emissions Inventory Report</w:t>
      </w:r>
      <w:bookmarkEnd w:id="0"/>
      <w:bookmarkEnd w:id="1"/>
      <w:bookmarkEnd w:id="2"/>
      <w:bookmarkEnd w:id="3"/>
      <w:bookmarkEnd w:id="4"/>
    </w:p>
    <w:p w:rsidRPr="00B7391E" w:rsidR="00C13176" w:rsidP="00997C65" w:rsidRDefault="00C13176" w14:paraId="691502AB" w14:textId="77777777">
      <w:pPr>
        <w:pStyle w:val="Subtitle"/>
      </w:pPr>
      <w:r w:rsidRPr="00B7391E">
        <w:t xml:space="preserve">CEMARS and the </w:t>
      </w:r>
      <w:proofErr w:type="spellStart"/>
      <w:r w:rsidRPr="00B7391E">
        <w:t>carboNZero</w:t>
      </w:r>
      <w:proofErr w:type="spellEnd"/>
      <w:r w:rsidRPr="00B7391E">
        <w:t xml:space="preserve"> programme</w:t>
      </w:r>
    </w:p>
    <w:p w:rsidRPr="009E4F02" w:rsidR="00C13176" w:rsidP="00997C65" w:rsidRDefault="00C13176" w14:paraId="31E62159" w14:textId="77777777">
      <w:pPr>
        <w:rPr>
          <w:rFonts w:cs="Arial"/>
          <w:sz w:val="24"/>
        </w:rPr>
      </w:pPr>
      <w:r w:rsidRPr="009E4F02">
        <w:rPr>
          <w:rFonts w:cs="Arial"/>
          <w:sz w:val="24"/>
        </w:rPr>
        <w:t>Prepared in accordance with Part 7.3.1 of ISO 14064-1:2006</w:t>
      </w:r>
    </w:p>
    <w:p w:rsidRPr="009E4F02" w:rsidR="00C13176" w:rsidP="00F33240" w:rsidRDefault="00C13176" w14:paraId="649A2587" w14:textId="77777777">
      <w:pPr>
        <w:jc w:val="center"/>
      </w:pPr>
    </w:p>
    <w:drawing>
      <wp:inline distT="0" distB="0" distL="0" distR="0" wp14:editId="50D07946">
        <wp:extent cx="1503898" cy="114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ded9bc31cf7f4d9d" cstate="print">
                  <a:extLst>
                    <a:ext uri="{28A0092B-C50C-407E-A947-70E740481C1C}"/>
                  </a:extLst>
                </a:blip>
                <a:stretch>
                  <a:fillRect/>
                </a:stretch>
              </pic:blipFill>
              <pic:spPr>
                <a:xfrm>
                  <a:off x="0" y="0"/>
                  <a:ext cx="1503898" cy="1145100"/>
                </a:xfrm>
                <a:prstGeom prst="rect">
                  <a:avLst/>
                </a:prstGeom>
              </pic:spPr>
            </pic:pic>
          </a:graphicData>
        </a:graphic>
      </wp:inline>
    </w:drawing>
    <w:p w:rsidR="00C13176" w:rsidP="00F33240" w:rsidRDefault="007449FA" w14:paraId="3B5688C7" w14:textId="348737E3">
      <w:pPr>
        <w:jc w:val="center"/>
      </w:pPr>
      <w:r>
        <w:t> </w:t>
      </w:r>
    </w:p>
    <w:p w:rsidRPr="009E4F02" w:rsidR="00B960B8" w:rsidP="00F33240" w:rsidRDefault="00B960B8" w14:paraId="4B76B2B6" w14:textId="77777777">
      <w:pPr>
        <w:jc w:val="center"/>
      </w:pPr>
    </w:p>
    <w:p w:rsidRPr="0088244A" w:rsidR="00C13176" w:rsidP="00997C65" w:rsidRDefault="0088244A" w14:paraId="01CA13FC" w14:textId="554C0139">
      <w:pPr>
        <w:spacing w:before="240"/>
        <w:rPr>
          <w:rFonts w:cs="Arial" w:asciiTheme="majorHAnsi" w:hAnsiTheme="majorHAnsi"/>
          <w:sz w:val="32"/>
          <w:szCs w:val="32"/>
        </w:rPr>
      </w:pPr>
      <w:bookmarkStart w:name="_Toc188254139" w:id="5"/>
      <w:bookmarkStart w:name="_Toc188254376" w:id="6"/>
      <w:bookmarkStart w:name="_Toc158179004" w:id="7"/>
      <w:bookmarkStart w:name="_Toc158618277" w:id="8"/>
      <w:bookmarkStart w:name="_Toc158866586" w:id="9"/>
      <w:bookmarkStart w:name="_Toc158866837" w:id="10"/>
      <w:bookmarkStart w:name="_Toc181062096" w:id="11"/>
      <w:bookmarkStart w:name="_Toc182802457" w:id="12"/>
      <w:bookmarkStart w:name="_Toc183415449" w:id="13"/>
      <w:r w:rsidRPr="0088244A">
        <w:rPr>
          <w:rFonts w:cs="Arial" w:asciiTheme="majorHAnsi" w:hAnsiTheme="majorHAnsi"/>
          <w:sz w:val="32"/>
          <w:szCs w:val="32"/>
        </w:rPr>
        <w:t>Masterton District Council</w:t>
      </w:r>
      <w:r w:rsidRPr="0088244A" w:rsidR="00C13176">
        <w:rPr>
          <w:rFonts w:cs="Arial" w:asciiTheme="majorHAnsi" w:hAnsiTheme="majorHAnsi"/>
          <w:sz w:val="32"/>
          <w:szCs w:val="32"/>
        </w:rPr>
        <w:t/>
      </w:r>
      <w:bookmarkEnd w:id="5"/>
      <w:bookmarkEnd w:id="6"/>
    </w:p>
    <w:bookmarkEnd w:id="7"/>
    <w:bookmarkEnd w:id="8"/>
    <w:bookmarkEnd w:id="9"/>
    <w:bookmarkEnd w:id="10"/>
    <w:bookmarkEnd w:id="11"/>
    <w:bookmarkEnd w:id="12"/>
    <w:bookmarkEnd w:id="13"/>
    <w:p w:rsidRPr="00997C65" w:rsidR="00C13176" w:rsidP="00C13176" w:rsidRDefault="00C13176" w14:paraId="6847A6DC" w14:textId="1304EBE4">
      <w:pPr>
        <w:ind w:left="360"/>
        <w:rPr>
          <w:rFonts w:cs="Arial"/>
        </w:rPr>
      </w:pPr>
      <w:r w:rsidRPr="00997C65">
        <w:rPr>
          <w:rFonts w:cs="Arial" w:asciiTheme="majorHAnsi" w:hAnsiTheme="majorHAnsi"/>
          <w:bCs/>
        </w:rPr>
        <w:t>Person responsible: Agnes Piatek-Bednarek, Environmental &amp; Sustainability Lead, Masterton District Council</w:t>
      </w:r>
      <w:r w:rsidRPr="00997C65">
        <w:rPr>
          <w:rFonts w:cs="Arial"/>
          <w:bCs/>
        </w:rPr>
        <w:t xml:space="preserve"/>
      </w:r>
      <w:r w:rsidRPr="00D44AF3" w:rsidR="00895D7B">
        <w:rPr>
          <w:rFonts w:cs="Arial"/>
          <w:bCs/>
        </w:rPr>
        <w:t/>
      </w:r>
    </w:p>
    <w:p w:rsidRPr="00997C65" w:rsidR="00C13176" w:rsidP="00C13176" w:rsidRDefault="00C13176" w14:paraId="6AFA0719" w14:textId="5C034B46">
      <w:pPr>
        <w:ind w:left="360"/>
        <w:rPr>
          <w:rFonts w:cs="Arial"/>
        </w:rPr>
      </w:pPr>
      <w:r w:rsidRPr="00997C65">
        <w:rPr>
          <w:rFonts w:cs="Arial" w:asciiTheme="majorHAnsi" w:hAnsiTheme="majorHAnsi"/>
        </w:rPr>
        <w:t>Prepared by: Agnes Piatek-Bednarek, Environmental &amp; Sustainability Lead, Masterton District Council</w:t>
      </w:r>
      <w:r w:rsidRPr="00997C65">
        <w:rPr>
          <w:rFonts w:cs="Arial"/>
        </w:rPr>
        <w:t xml:space="preserve"/>
      </w:r>
      <w:r w:rsidRPr="00D44AF3" w:rsidR="00895D7B">
        <w:rPr>
          <w:rFonts w:cs="Arial"/>
        </w:rPr>
        <w:t/>
      </w:r>
    </w:p>
    <w:p w:rsidRPr="00997C65" w:rsidR="00C13176" w:rsidP="00C13176" w:rsidRDefault="00C13176" w14:paraId="3B7D3EA2" w14:textId="1771682A">
      <w:pPr>
        <w:ind w:left="360"/>
        <w:rPr>
          <w:rFonts w:cs="Arial"/>
        </w:rPr>
      </w:pPr>
      <w:r w:rsidRPr="00997C65">
        <w:rPr>
          <w:rFonts w:cs="Arial" w:asciiTheme="majorHAnsi" w:hAnsiTheme="majorHAnsi"/>
        </w:rPr>
        <w:t>Dated: May 2018</w:t>
      </w:r>
      <w:r w:rsidRPr="00997C65">
        <w:rPr>
          <w:rFonts w:cs="Arial"/>
        </w:rPr>
        <w:t xml:space="preserve"/>
      </w:r>
      <w:r w:rsidRPr="00D44AF3" w:rsidR="00895D7B">
        <w:rPr>
          <w:rFonts w:cs="Arial"/>
        </w:rPr>
        <w:t/>
      </w:r>
    </w:p>
    <w:p w:rsidRPr="00997C65" w:rsidR="00C13176" w:rsidP="00C13176" w:rsidRDefault="00C13176" w14:paraId="64DF2FBE" w14:textId="631E94F7">
      <w:pPr>
        <w:ind w:left="360"/>
        <w:rPr>
          <w:rFonts w:cs="Arial"/>
        </w:rPr>
      </w:pPr>
      <w:r w:rsidRPr="00997C65">
        <w:rPr>
          <w:rFonts w:cs="Arial" w:asciiTheme="majorHAnsi" w:hAnsiTheme="majorHAnsi"/>
        </w:rPr>
        <w:t>Version: 1.0</w:t>
      </w:r>
      <w:r w:rsidRPr="00997C65">
        <w:rPr>
          <w:rFonts w:cs="Arial"/>
        </w:rPr>
        <w:t xml:space="preserve"/>
      </w:r>
      <w:r w:rsidRPr="00D44AF3" w:rsidR="00895D7B">
        <w:rPr>
          <w:rFonts w:cs="Arial"/>
        </w:rPr>
        <w:t/>
      </w:r>
    </w:p>
    <w:p w:rsidRPr="00997C65" w:rsidR="00C13176" w:rsidP="00C13176" w:rsidRDefault="00C13176" w14:paraId="293C9391" w14:textId="76E832A3">
      <w:pPr>
        <w:ind w:left="360"/>
        <w:rPr>
          <w:rFonts w:cs="Arial"/>
        </w:rPr>
      </w:pPr>
      <w:r w:rsidRPr="00997C65">
        <w:rPr>
          <w:rFonts w:cs="Arial" w:asciiTheme="majorHAnsi" w:hAnsiTheme="majorHAnsi"/>
        </w:rPr>
        <w:t>Verification status: Verified (post-audit)</w:t>
      </w:r>
      <w:r w:rsidRPr="00997C65">
        <w:t xml:space="preserve"/>
      </w:r>
      <w:r w:rsidRPr="00D44AF3" w:rsidR="00895D7B">
        <w:t/>
      </w:r>
    </w:p>
    <w:p w:rsidRPr="00997C65" w:rsidR="00C13176" w:rsidP="00C13176" w:rsidRDefault="00C13176" w14:paraId="5A9FD816" w14:textId="7C8A3294">
      <w:pPr>
        <w:ind w:left="360"/>
        <w:rPr>
          <w:rFonts w:cs="Arial"/>
          <w:color w:val="FF0000"/>
        </w:rPr>
      </w:pPr>
      <w:r w:rsidRPr="00997C65">
        <w:rPr>
          <w:rFonts w:cs="Arial" w:asciiTheme="majorHAnsi" w:hAnsiTheme="majorHAnsi"/>
        </w:rPr>
        <w:t>For the period: 1/07/2015 to 30/06/2016</w:t>
      </w:r>
      <w:r w:rsidRPr="00997C65">
        <w:rPr>
          <w:rFonts w:cs="Arial"/>
        </w:rPr>
        <w:t xml:space="preserve"/>
      </w:r>
      <w:r w:rsidRPr="00D44AF3" w:rsidR="00895D7B">
        <w:rPr>
          <w:rFonts w:cs="Arial"/>
        </w:rPr>
        <w:t/>
      </w:r>
    </w:p>
    <w:p w:rsidRPr="00997C65" w:rsidR="00C13176" w:rsidP="00C13176" w:rsidRDefault="00C13176" w14:paraId="29DF4AC4" w14:textId="7A25186E">
      <w:pPr>
        <w:ind w:left="360"/>
        <w:rPr>
          <w:rFonts w:cs="Arial"/>
          <w:color w:val="FF0000"/>
        </w:rPr>
      </w:pPr>
      <w:r w:rsidRPr="00997C65">
        <w:rPr>
          <w:rFonts w:cs="Arial" w:asciiTheme="majorHAnsi" w:hAnsiTheme="majorHAnsi"/>
        </w:rPr>
        <w:t>Base year: 1/07/2015 to 30/06/2016</w:t>
      </w:r>
      <w:r w:rsidRPr="00997C65">
        <w:rPr>
          <w:rFonts w:cs="Arial"/>
        </w:rPr>
        <w:t xml:space="preserve"/>
      </w:r>
      <w:r w:rsidRPr="00D44AF3" w:rsidR="00895D7B">
        <w:rPr>
          <w:rFonts w:cs="Arial"/>
        </w:rPr>
        <w:t/>
      </w:r>
    </w:p>
    <w:p w:rsidR="00D85DB2" w:rsidRDefault="00D85DB2" w14:paraId="1078AA75" w14:textId="73970B8F">
      <w:pPr>
        <w:spacing w:after="200"/>
        <w:jc w:val="left"/>
        <w:rPr>
          <w:rFonts w:ascii="Calibri" w:hAnsi="Calibri"/>
          <w:b/>
          <w:szCs w:val="20"/>
        </w:rPr>
      </w:pPr>
      <w:r>
        <w:rPr>
          <w:b/>
          <w:szCs w:val="20"/>
        </w:rPr>
        <w:br w:type="page"/>
      </w:r>
    </w:p>
    <w:p w:rsidRPr="0069781B" w:rsidR="00997C65" w:rsidP="00A557E1" w:rsidRDefault="00997C65" w14:paraId="63BAACA1" w14:textId="00301390">
      <w:pPr>
        <w:pStyle w:val="Heading1"/>
      </w:pPr>
      <w:bookmarkStart w:name="_Toc433976117" w:id="14"/>
      <w:r w:rsidRPr="0069781B">
        <w:lastRenderedPageBreak/>
        <w:t>Disclaimer</w:t>
      </w:r>
      <w:bookmarkEnd w:id="14"/>
    </w:p>
    <w:p w:rsidRPr="0069781B" w:rsidR="00997C65" w:rsidP="00997C65" w:rsidRDefault="00997C65" w14:paraId="0B7D7D26" w14:textId="77777777">
      <w:pPr>
        <w:pStyle w:val="BodyText"/>
        <w:pBdr>
          <w:top w:val="single" w:color="004990" w:themeColor="accent3" w:sz="4" w:space="1"/>
          <w:left w:val="single" w:color="004990" w:themeColor="accent3" w:sz="4" w:space="4"/>
          <w:bottom w:val="single" w:color="004990" w:themeColor="accent3" w:sz="4" w:space="1"/>
          <w:right w:val="single" w:color="004990" w:themeColor="accent3" w:sz="4" w:space="4"/>
        </w:pBdr>
        <w:rPr>
          <w:szCs w:val="20"/>
        </w:rPr>
      </w:pPr>
      <w:r w:rsidRPr="0069781B">
        <w:rPr>
          <w:szCs w:val="20"/>
        </w:rPr>
        <w:t xml:space="preserve">The template has been provided by </w:t>
      </w:r>
      <w:r>
        <w:rPr>
          <w:szCs w:val="20"/>
        </w:rPr>
        <w:t>Enviro-Mark Solutions</w:t>
      </w:r>
      <w:r w:rsidRPr="0069781B">
        <w:rPr>
          <w:szCs w:val="20"/>
        </w:rPr>
        <w:t xml:space="preserve"> </w:t>
      </w:r>
      <w:r>
        <w:rPr>
          <w:szCs w:val="20"/>
        </w:rPr>
        <w:t>Limited</w:t>
      </w:r>
      <w:r w:rsidRPr="0069781B">
        <w:rPr>
          <w:szCs w:val="20"/>
        </w:rPr>
        <w:t xml:space="preserve">. While every effort has been made to ensure the template is consistent with the requirements of ISO 14064-1:2006, </w:t>
      </w:r>
      <w:r>
        <w:rPr>
          <w:szCs w:val="20"/>
        </w:rPr>
        <w:t>Enviro-Mark Solutions</w:t>
      </w:r>
      <w:r w:rsidRPr="0069781B">
        <w:rPr>
          <w:szCs w:val="20"/>
        </w:rPr>
        <w:t xml:space="preserve"> </w:t>
      </w:r>
      <w:r>
        <w:rPr>
          <w:szCs w:val="20"/>
        </w:rPr>
        <w:t>Limited</w:t>
      </w:r>
      <w:r w:rsidRPr="0069781B">
        <w:rPr>
          <w:szCs w:val="20"/>
        </w:rPr>
        <w:t xml:space="preserve"> does not accept any responsibility whether in contract, tort, </w:t>
      </w:r>
      <w:proofErr w:type="gramStart"/>
      <w:r w:rsidRPr="0069781B">
        <w:rPr>
          <w:szCs w:val="20"/>
        </w:rPr>
        <w:t>equity</w:t>
      </w:r>
      <w:proofErr w:type="gramEnd"/>
      <w:r w:rsidRPr="0069781B">
        <w:rPr>
          <w:szCs w:val="20"/>
        </w:rPr>
        <w:t xml:space="preserve"> or otherwise for any action taken, or reliance placed on it, or for any error or omission from this report. The template should not be altered (i.e. the black text); doing so may invalidate the organisation’s claim that its inventory is compliant with the ISO 14064-1:2006 standard.</w:t>
      </w:r>
    </w:p>
    <w:p w:rsidRPr="0069781B" w:rsidR="00997C65" w:rsidP="00997C65" w:rsidRDefault="00997C65" w14:paraId="6836DA6B" w14:textId="77777777">
      <w:pPr>
        <w:pStyle w:val="BodyText"/>
        <w:pBdr>
          <w:top w:val="single" w:color="004990" w:themeColor="accent3" w:sz="4" w:space="1"/>
          <w:left w:val="single" w:color="004990" w:themeColor="accent3" w:sz="4" w:space="4"/>
          <w:bottom w:val="single" w:color="004990" w:themeColor="accent3" w:sz="4" w:space="1"/>
          <w:right w:val="single" w:color="004990" w:themeColor="accent3" w:sz="4" w:space="4"/>
        </w:pBdr>
        <w:rPr>
          <w:szCs w:val="20"/>
        </w:rPr>
      </w:pPr>
      <w:r w:rsidRPr="0069781B">
        <w:rPr>
          <w:szCs w:val="20"/>
        </w:rPr>
        <w:t>This work shall not be used for the purpose of obtaining emissions units, allowances, or carbon credits from two or more different sources in relation to the same emissions reductions, or for the purpose of offering for sale carbon credits which have been previously sold.</w:t>
      </w:r>
    </w:p>
    <w:p w:rsidRPr="0069781B" w:rsidR="00997C65" w:rsidP="00997C65" w:rsidRDefault="00997C65" w14:paraId="1B661CE1" w14:textId="77777777">
      <w:pPr>
        <w:pStyle w:val="BodyText"/>
        <w:pBdr>
          <w:top w:val="single" w:color="004990" w:themeColor="accent3" w:sz="4" w:space="1"/>
          <w:left w:val="single" w:color="004990" w:themeColor="accent3" w:sz="4" w:space="4"/>
          <w:bottom w:val="single" w:color="004990" w:themeColor="accent3" w:sz="4" w:space="1"/>
          <w:right w:val="single" w:color="004990" w:themeColor="accent3" w:sz="4" w:space="4"/>
        </w:pBdr>
        <w:rPr>
          <w:szCs w:val="20"/>
        </w:rPr>
      </w:pPr>
      <w:r w:rsidRPr="0069781B">
        <w:rPr>
          <w:szCs w:val="20"/>
        </w:rPr>
        <w:t>The consolidation approach chosen for the greenhouse gas inventory should not be used to make decisions related to the application of employment or taxation law.</w:t>
      </w:r>
    </w:p>
    <w:p w:rsidRPr="0069781B" w:rsidR="00997C65" w:rsidP="00997C65" w:rsidRDefault="00997C65" w14:paraId="376EADB1" w14:textId="77777777">
      <w:pPr>
        <w:pStyle w:val="BodyText"/>
        <w:pBdr>
          <w:top w:val="single" w:color="004990" w:themeColor="accent3" w:sz="4" w:space="1"/>
          <w:left w:val="single" w:color="004990" w:themeColor="accent3" w:sz="4" w:space="4"/>
          <w:bottom w:val="single" w:color="004990" w:themeColor="accent3" w:sz="4" w:space="1"/>
          <w:right w:val="single" w:color="004990" w:themeColor="accent3" w:sz="4" w:space="4"/>
        </w:pBdr>
        <w:rPr>
          <w:szCs w:val="20"/>
        </w:rPr>
      </w:pPr>
      <w:r w:rsidRPr="0069781B">
        <w:rPr>
          <w:szCs w:val="20"/>
        </w:rPr>
        <w:t xml:space="preserve">This report shall not be used to make public greenhouse gas assertions without independent verification and issue of an assurance statement by the </w:t>
      </w:r>
      <w:r>
        <w:rPr>
          <w:szCs w:val="20"/>
        </w:rPr>
        <w:t>Enviro-Mark Solutions</w:t>
      </w:r>
      <w:r w:rsidRPr="0069781B">
        <w:rPr>
          <w:szCs w:val="20"/>
        </w:rPr>
        <w:t xml:space="preserve"> </w:t>
      </w:r>
      <w:r>
        <w:rPr>
          <w:szCs w:val="20"/>
        </w:rPr>
        <w:t>Limited</w:t>
      </w:r>
      <w:r w:rsidRPr="0069781B">
        <w:rPr>
          <w:szCs w:val="20"/>
        </w:rPr>
        <w:t>.</w:t>
      </w:r>
    </w:p>
    <w:p w:rsidRPr="00DE6672" w:rsidR="009E4F02" w:rsidP="002C1195" w:rsidRDefault="009E4F02" w14:paraId="5D756790" w14:textId="77777777">
      <w:pPr>
        <w:pStyle w:val="BodyText"/>
      </w:pPr>
    </w:p>
    <w:p w:rsidRPr="00DE6672" w:rsidR="00DE6672" w:rsidP="002C1195" w:rsidRDefault="00DE6672" w14:paraId="7C12E2BD" w14:textId="77777777">
      <w:pPr>
        <w:pStyle w:val="BodyText"/>
      </w:pPr>
    </w:p>
    <w:p w:rsidR="009E4F02" w:rsidP="002C1195" w:rsidRDefault="009E4F02" w14:paraId="7B916E48" w14:textId="77777777">
      <w:pPr>
        <w:pStyle w:val="BodyText"/>
        <w:sectPr w:rsidR="009E4F02" w:rsidSect="00997C65">
          <w:headerReference w:type="default" r:id="rId13"/>
          <w:footerReference w:type="default" r:id="rId14"/>
          <w:footerReference w:type="first" r:id="rId15"/>
          <w:type w:val="continuous"/>
          <w:pgSz w:w="11906" w:h="16838" w:code="9"/>
          <w:pgMar w:top="1546" w:right="1134" w:bottom="1134" w:left="1134" w:header="709" w:footer="363" w:gutter="0"/>
          <w:cols w:space="708"/>
          <w:titlePg/>
          <w:docGrid w:linePitch="360"/>
        </w:sectPr>
      </w:pPr>
    </w:p>
    <w:p w:rsidRPr="00DE6672" w:rsidR="00DE6672" w:rsidP="002C1195" w:rsidRDefault="00DE6672" w14:paraId="1540C981" w14:textId="7C02BEDA">
      <w:pPr>
        <w:pStyle w:val="BodyText"/>
      </w:pPr>
    </w:p>
    <w:p w:rsidRPr="00DE6672" w:rsidR="00DE6672" w:rsidP="002C1195" w:rsidRDefault="00DE6672" w14:paraId="717F0B63" w14:textId="77777777">
      <w:pPr>
        <w:pStyle w:val="BodyText"/>
      </w:pPr>
    </w:p>
    <w:p w:rsidRPr="00DE6672" w:rsidR="00DE6672" w:rsidP="002C1195" w:rsidRDefault="00DE6672" w14:paraId="31E4D7A4" w14:textId="77777777">
      <w:pPr>
        <w:pStyle w:val="BodyText"/>
      </w:pPr>
    </w:p>
    <w:p w:rsidR="00DE6672" w:rsidP="002C1195" w:rsidRDefault="00DE6672" w14:paraId="33318007" w14:textId="77777777">
      <w:pPr>
        <w:pStyle w:val="BodyText"/>
      </w:pPr>
    </w:p>
    <w:p w:rsidR="00253A58" w:rsidP="002C1195" w:rsidRDefault="00253A58" w14:paraId="0D095108" w14:textId="77777777">
      <w:pPr>
        <w:pStyle w:val="BodyText"/>
      </w:pPr>
    </w:p>
    <w:p w:rsidR="00253A58" w:rsidP="002C1195" w:rsidRDefault="00253A58" w14:paraId="39765422" w14:textId="77777777">
      <w:pPr>
        <w:pStyle w:val="BodyText"/>
      </w:pPr>
    </w:p>
    <w:p w:rsidR="00253A58" w:rsidP="002C1195" w:rsidRDefault="00253A58" w14:paraId="0B8666FC" w14:textId="77777777">
      <w:pPr>
        <w:pStyle w:val="BodyText"/>
      </w:pPr>
    </w:p>
    <w:p w:rsidR="00253A58" w:rsidP="002C1195" w:rsidRDefault="00253A58" w14:paraId="3E2981BA" w14:textId="77777777">
      <w:pPr>
        <w:pStyle w:val="BodyText"/>
      </w:pPr>
    </w:p>
    <w:p w:rsidR="00253A58" w:rsidP="002C1195" w:rsidRDefault="00253A58" w14:paraId="59628E8A" w14:textId="77777777">
      <w:pPr>
        <w:pStyle w:val="BodyText"/>
      </w:pPr>
    </w:p>
    <w:p w:rsidR="00253A58" w:rsidP="002C1195" w:rsidRDefault="00253A58" w14:paraId="35033966" w14:textId="77777777">
      <w:pPr>
        <w:pStyle w:val="BodyText"/>
      </w:pPr>
    </w:p>
    <w:p w:rsidR="00253A58" w:rsidP="002C1195" w:rsidRDefault="00253A58" w14:paraId="57BDBBCB" w14:textId="77777777">
      <w:pPr>
        <w:pStyle w:val="BodyText"/>
      </w:pPr>
    </w:p>
    <w:p w:rsidR="00253A58" w:rsidP="002C1195" w:rsidRDefault="00253A58" w14:paraId="24DA4E5D" w14:textId="77777777">
      <w:pPr>
        <w:pStyle w:val="BodyText"/>
      </w:pPr>
    </w:p>
    <w:p w:rsidR="00253A58" w:rsidP="002C1195" w:rsidRDefault="00253A58" w14:paraId="65FD03AD" w14:textId="77777777">
      <w:pPr>
        <w:pStyle w:val="BodyText"/>
      </w:pPr>
    </w:p>
    <w:p w:rsidR="00253A58" w:rsidP="002C1195" w:rsidRDefault="00253A58" w14:paraId="3682DF09" w14:textId="77777777">
      <w:pPr>
        <w:pStyle w:val="BodyText"/>
      </w:pPr>
    </w:p>
    <w:p w:rsidR="00253A58" w:rsidP="002C1195" w:rsidRDefault="00253A58" w14:paraId="55B33848" w14:textId="77777777">
      <w:pPr>
        <w:pStyle w:val="BodyText"/>
      </w:pPr>
    </w:p>
    <w:p w:rsidR="00253A58" w:rsidP="002C1195" w:rsidRDefault="00253A58" w14:paraId="5782FE18" w14:textId="77777777">
      <w:pPr>
        <w:pStyle w:val="BodyText"/>
      </w:pPr>
    </w:p>
    <w:p w:rsidR="00A10A9D" w:rsidP="002C1195" w:rsidRDefault="00A10A9D" w14:paraId="575AB3B0" w14:textId="77777777">
      <w:pPr>
        <w:pStyle w:val="BodyText"/>
      </w:pPr>
    </w:p>
    <w:p w:rsidRPr="00DE6672" w:rsidR="00A10A9D" w:rsidP="002C1195" w:rsidRDefault="00A10A9D" w14:paraId="4DAC4007" w14:textId="77777777">
      <w:pPr>
        <w:pStyle w:val="BodyText"/>
        <w:sectPr w:rsidRPr="00DE6672" w:rsidR="00A10A9D" w:rsidSect="00997C65">
          <w:type w:val="continuous"/>
          <w:pgSz w:w="11906" w:h="16838" w:code="9"/>
          <w:pgMar w:top="1546" w:right="1134" w:bottom="1134" w:left="1134" w:header="709" w:footer="363" w:gutter="0"/>
          <w:cols w:space="708"/>
          <w:docGrid w:linePitch="360"/>
        </w:sectPr>
      </w:pPr>
    </w:p>
    <w:p w:rsidR="00997C65" w:rsidRDefault="00997C65" w14:paraId="678B32EC" w14:textId="77777777">
      <w:pPr>
        <w:rPr>
          <w:rFonts w:cs="Arial"/>
          <w:b/>
          <w:bCs/>
          <w:color w:val="365F91"/>
          <w:kern w:val="32"/>
          <w:sz w:val="32"/>
          <w:szCs w:val="32"/>
        </w:rPr>
      </w:pPr>
      <w:r>
        <w:rPr>
          <w:rFonts w:cs="Arial"/>
          <w:b/>
          <w:bCs/>
          <w:color w:val="365F91"/>
          <w:kern w:val="32"/>
          <w:sz w:val="32"/>
          <w:szCs w:val="32"/>
        </w:rPr>
        <w:lastRenderedPageBreak/>
        <w:br w:type="page"/>
      </w:r>
    </w:p>
    <w:p w:rsidR="00A10A9D" w:rsidP="00A557E1" w:rsidRDefault="00A10A9D" w14:paraId="64212542" w14:textId="1060AAF5">
      <w:pPr>
        <w:pStyle w:val="Heading1"/>
      </w:pPr>
      <w:bookmarkStart w:name="_Toc433976118" w:id="15"/>
      <w:r w:rsidRPr="0079057A">
        <w:lastRenderedPageBreak/>
        <w:t>Contents</w:t>
      </w:r>
      <w:bookmarkEnd w:id="15"/>
    </w:p>
    <w:p w:rsidR="00400DAB" w:rsidRDefault="00400DAB" w14:paraId="106E2C68" w14:textId="77777777">
      <w:pPr>
        <w:pStyle w:val="TOC1"/>
        <w:rPr>
          <w:rFonts w:eastAsiaTheme="minorEastAsia"/>
          <w:noProof/>
          <w:szCs w:val="22"/>
          <w:lang w:eastAsia="en-NZ"/>
        </w:rPr>
      </w:pPr>
      <w:r>
        <w:rPr>
          <w:szCs w:val="20"/>
        </w:rPr>
        <w:fldChar w:fldCharType="begin"/>
      </w:r>
      <w:r>
        <w:rPr>
          <w:szCs w:val="20"/>
        </w:rPr>
        <w:instrText xml:space="preserve"> TOC \o "1-3" \h \z \u </w:instrText>
      </w:r>
      <w:r>
        <w:rPr>
          <w:szCs w:val="20"/>
        </w:rPr>
        <w:fldChar w:fldCharType="separate"/>
      </w:r>
      <w:hyperlink w:history="1" w:anchor="_Toc433976117">
        <w:r w:rsidRPr="009C4514">
          <w:rPr>
            <w:rStyle w:val="Hyperlink"/>
            <w:noProof/>
          </w:rPr>
          <w:t>Disclaimer</w:t>
        </w:r>
        <w:r>
          <w:rPr>
            <w:noProof/>
            <w:webHidden/>
          </w:rPr>
          <w:tab/>
        </w:r>
        <w:r>
          <w:rPr>
            <w:noProof/>
            <w:webHidden/>
          </w:rPr>
          <w:fldChar w:fldCharType="begin"/>
        </w:r>
        <w:r>
          <w:rPr>
            <w:noProof/>
            <w:webHidden/>
          </w:rPr>
          <w:instrText xml:space="preserve"> PAGEREF _Toc433976117 \h </w:instrText>
        </w:r>
        <w:r>
          <w:rPr>
            <w:noProof/>
            <w:webHidden/>
          </w:rPr>
        </w:r>
        <w:r>
          <w:rPr>
            <w:noProof/>
            <w:webHidden/>
          </w:rPr>
          <w:fldChar w:fldCharType="separate"/>
        </w:r>
        <w:r>
          <w:rPr>
            <w:noProof/>
            <w:webHidden/>
          </w:rPr>
          <w:t>2</w:t>
        </w:r>
        <w:r>
          <w:rPr>
            <w:noProof/>
            <w:webHidden/>
          </w:rPr>
          <w:fldChar w:fldCharType="end"/>
        </w:r>
      </w:hyperlink>
    </w:p>
    <w:p w:rsidR="00400DAB" w:rsidRDefault="00400DAB" w14:paraId="6DAA4328" w14:textId="77777777">
      <w:pPr>
        <w:pStyle w:val="TOC1"/>
        <w:rPr>
          <w:rFonts w:eastAsiaTheme="minorEastAsia"/>
          <w:noProof/>
          <w:szCs w:val="22"/>
          <w:lang w:eastAsia="en-NZ"/>
        </w:rPr>
      </w:pPr>
      <w:hyperlink w:history="1" w:anchor="_Toc433976118">
        <w:r w:rsidRPr="009C4514">
          <w:rPr>
            <w:rStyle w:val="Hyperlink"/>
            <w:noProof/>
          </w:rPr>
          <w:t>Contents</w:t>
        </w:r>
        <w:r>
          <w:rPr>
            <w:noProof/>
            <w:webHidden/>
          </w:rPr>
          <w:tab/>
        </w:r>
        <w:r>
          <w:rPr>
            <w:noProof/>
            <w:webHidden/>
          </w:rPr>
          <w:fldChar w:fldCharType="begin"/>
        </w:r>
        <w:r>
          <w:rPr>
            <w:noProof/>
            <w:webHidden/>
          </w:rPr>
          <w:instrText xml:space="preserve"> PAGEREF _Toc433976118 \h </w:instrText>
        </w:r>
        <w:r>
          <w:rPr>
            <w:noProof/>
            <w:webHidden/>
          </w:rPr>
        </w:r>
        <w:r>
          <w:rPr>
            <w:noProof/>
            <w:webHidden/>
          </w:rPr>
          <w:fldChar w:fldCharType="separate"/>
        </w:r>
        <w:r>
          <w:rPr>
            <w:noProof/>
            <w:webHidden/>
          </w:rPr>
          <w:t>3</w:t>
        </w:r>
        <w:r>
          <w:rPr>
            <w:noProof/>
            <w:webHidden/>
          </w:rPr>
          <w:fldChar w:fldCharType="end"/>
        </w:r>
      </w:hyperlink>
    </w:p>
    <w:p w:rsidR="00400DAB" w:rsidRDefault="00400DAB" w14:paraId="37DF4A45" w14:textId="77777777">
      <w:pPr>
        <w:pStyle w:val="TOC1"/>
        <w:rPr>
          <w:rFonts w:eastAsiaTheme="minorEastAsia"/>
          <w:noProof/>
          <w:szCs w:val="22"/>
          <w:lang w:eastAsia="en-NZ"/>
        </w:rPr>
      </w:pPr>
      <w:hyperlink w:history="1" w:anchor="_Toc433976119">
        <w:r w:rsidRPr="009C4514">
          <w:rPr>
            <w:rStyle w:val="Hyperlink"/>
            <w:noProof/>
          </w:rPr>
          <w:t>Greenhouse Gas Emissions Inventory summary</w:t>
        </w:r>
        <w:r>
          <w:rPr>
            <w:noProof/>
            <w:webHidden/>
          </w:rPr>
          <w:tab/>
        </w:r>
        <w:r>
          <w:rPr>
            <w:noProof/>
            <w:webHidden/>
          </w:rPr>
          <w:fldChar w:fldCharType="begin"/>
        </w:r>
        <w:r>
          <w:rPr>
            <w:noProof/>
            <w:webHidden/>
          </w:rPr>
          <w:instrText xml:space="preserve"> PAGEREF _Toc433976119 \h </w:instrText>
        </w:r>
        <w:r>
          <w:rPr>
            <w:noProof/>
            <w:webHidden/>
          </w:rPr>
        </w:r>
        <w:r>
          <w:rPr>
            <w:noProof/>
            <w:webHidden/>
          </w:rPr>
          <w:fldChar w:fldCharType="separate"/>
        </w:r>
        <w:r>
          <w:rPr>
            <w:noProof/>
            <w:webHidden/>
          </w:rPr>
          <w:t>4</w:t>
        </w:r>
        <w:r>
          <w:rPr>
            <w:noProof/>
            <w:webHidden/>
          </w:rPr>
          <w:fldChar w:fldCharType="end"/>
        </w:r>
      </w:hyperlink>
    </w:p>
    <w:p w:rsidR="00400DAB" w:rsidRDefault="00400DAB" w14:paraId="0C3112E9" w14:textId="77777777">
      <w:pPr>
        <w:pStyle w:val="TOC1"/>
        <w:rPr>
          <w:rFonts w:eastAsiaTheme="minorEastAsia"/>
          <w:noProof/>
          <w:szCs w:val="22"/>
          <w:lang w:eastAsia="en-NZ"/>
        </w:rPr>
      </w:pPr>
      <w:hyperlink w:history="1" w:anchor="_Toc433976120">
        <w:r w:rsidRPr="009C4514">
          <w:rPr>
            <w:rStyle w:val="Hyperlink"/>
            <w:noProof/>
          </w:rPr>
          <w:t>1</w:t>
        </w:r>
        <w:r>
          <w:rPr>
            <w:rFonts w:eastAsiaTheme="minorEastAsia"/>
            <w:noProof/>
            <w:szCs w:val="22"/>
            <w:lang w:eastAsia="en-NZ"/>
          </w:rPr>
          <w:tab/>
        </w:r>
        <w:r w:rsidRPr="009C4514">
          <w:rPr>
            <w:rStyle w:val="Hyperlink"/>
            <w:noProof/>
          </w:rPr>
          <w:t>Introduction</w:t>
        </w:r>
        <w:r>
          <w:rPr>
            <w:noProof/>
            <w:webHidden/>
          </w:rPr>
          <w:tab/>
        </w:r>
        <w:r>
          <w:rPr>
            <w:noProof/>
            <w:webHidden/>
          </w:rPr>
          <w:fldChar w:fldCharType="begin"/>
        </w:r>
        <w:r>
          <w:rPr>
            <w:noProof/>
            <w:webHidden/>
          </w:rPr>
          <w:instrText xml:space="preserve"> PAGEREF _Toc433976120 \h </w:instrText>
        </w:r>
        <w:r>
          <w:rPr>
            <w:noProof/>
            <w:webHidden/>
          </w:rPr>
        </w:r>
        <w:r>
          <w:rPr>
            <w:noProof/>
            <w:webHidden/>
          </w:rPr>
          <w:fldChar w:fldCharType="separate"/>
        </w:r>
        <w:r>
          <w:rPr>
            <w:noProof/>
            <w:webHidden/>
          </w:rPr>
          <w:t>5</w:t>
        </w:r>
        <w:r>
          <w:rPr>
            <w:noProof/>
            <w:webHidden/>
          </w:rPr>
          <w:fldChar w:fldCharType="end"/>
        </w:r>
      </w:hyperlink>
    </w:p>
    <w:p w:rsidR="00400DAB" w:rsidRDefault="00400DAB" w14:paraId="51AF1FF4" w14:textId="77777777">
      <w:pPr>
        <w:pStyle w:val="TOC1"/>
        <w:rPr>
          <w:rFonts w:eastAsiaTheme="minorEastAsia"/>
          <w:noProof/>
          <w:szCs w:val="22"/>
          <w:lang w:eastAsia="en-NZ"/>
        </w:rPr>
      </w:pPr>
      <w:hyperlink w:history="1" w:anchor="_Toc433976121">
        <w:r w:rsidRPr="009C4514">
          <w:rPr>
            <w:rStyle w:val="Hyperlink"/>
            <w:noProof/>
          </w:rPr>
          <w:t>2</w:t>
        </w:r>
        <w:r>
          <w:rPr>
            <w:rFonts w:eastAsiaTheme="minorEastAsia"/>
            <w:noProof/>
            <w:szCs w:val="22"/>
            <w:lang w:eastAsia="en-NZ"/>
          </w:rPr>
          <w:tab/>
        </w:r>
        <w:r w:rsidRPr="009C4514">
          <w:rPr>
            <w:rStyle w:val="Hyperlink"/>
            <w:noProof/>
          </w:rPr>
          <w:t>Statement of intent</w:t>
        </w:r>
        <w:r>
          <w:rPr>
            <w:noProof/>
            <w:webHidden/>
          </w:rPr>
          <w:tab/>
        </w:r>
        <w:r>
          <w:rPr>
            <w:noProof/>
            <w:webHidden/>
          </w:rPr>
          <w:fldChar w:fldCharType="begin"/>
        </w:r>
        <w:r>
          <w:rPr>
            <w:noProof/>
            <w:webHidden/>
          </w:rPr>
          <w:instrText xml:space="preserve"> PAGEREF _Toc433976121 \h </w:instrText>
        </w:r>
        <w:r>
          <w:rPr>
            <w:noProof/>
            <w:webHidden/>
          </w:rPr>
        </w:r>
        <w:r>
          <w:rPr>
            <w:noProof/>
            <w:webHidden/>
          </w:rPr>
          <w:fldChar w:fldCharType="separate"/>
        </w:r>
        <w:r>
          <w:rPr>
            <w:noProof/>
            <w:webHidden/>
          </w:rPr>
          <w:t>5</w:t>
        </w:r>
        <w:r>
          <w:rPr>
            <w:noProof/>
            <w:webHidden/>
          </w:rPr>
          <w:fldChar w:fldCharType="end"/>
        </w:r>
      </w:hyperlink>
    </w:p>
    <w:p w:rsidR="00400DAB" w:rsidRDefault="00400DAB" w14:paraId="4669AD08" w14:textId="77777777">
      <w:pPr>
        <w:pStyle w:val="TOC1"/>
        <w:rPr>
          <w:rFonts w:eastAsiaTheme="minorEastAsia"/>
          <w:noProof/>
          <w:szCs w:val="22"/>
          <w:lang w:eastAsia="en-NZ"/>
        </w:rPr>
      </w:pPr>
      <w:hyperlink w:history="1" w:anchor="_Toc433976122">
        <w:r w:rsidRPr="009C4514">
          <w:rPr>
            <w:rStyle w:val="Hyperlink"/>
            <w:noProof/>
          </w:rPr>
          <w:t>3</w:t>
        </w:r>
        <w:r>
          <w:rPr>
            <w:rFonts w:eastAsiaTheme="minorEastAsia"/>
            <w:noProof/>
            <w:szCs w:val="22"/>
            <w:lang w:eastAsia="en-NZ"/>
          </w:rPr>
          <w:tab/>
        </w:r>
        <w:r w:rsidRPr="009C4514">
          <w:rPr>
            <w:rStyle w:val="Hyperlink"/>
            <w:noProof/>
          </w:rPr>
          <w:t>Organisation description</w:t>
        </w:r>
        <w:r>
          <w:rPr>
            <w:noProof/>
            <w:webHidden/>
          </w:rPr>
          <w:tab/>
        </w:r>
        <w:r>
          <w:rPr>
            <w:noProof/>
            <w:webHidden/>
          </w:rPr>
          <w:fldChar w:fldCharType="begin"/>
        </w:r>
        <w:r>
          <w:rPr>
            <w:noProof/>
            <w:webHidden/>
          </w:rPr>
          <w:instrText xml:space="preserve"> PAGEREF _Toc433976122 \h </w:instrText>
        </w:r>
        <w:r>
          <w:rPr>
            <w:noProof/>
            <w:webHidden/>
          </w:rPr>
        </w:r>
        <w:r>
          <w:rPr>
            <w:noProof/>
            <w:webHidden/>
          </w:rPr>
          <w:fldChar w:fldCharType="separate"/>
        </w:r>
        <w:r>
          <w:rPr>
            <w:noProof/>
            <w:webHidden/>
          </w:rPr>
          <w:t>5</w:t>
        </w:r>
        <w:r>
          <w:rPr>
            <w:noProof/>
            <w:webHidden/>
          </w:rPr>
          <w:fldChar w:fldCharType="end"/>
        </w:r>
      </w:hyperlink>
    </w:p>
    <w:p w:rsidR="00400DAB" w:rsidRDefault="00400DAB" w14:paraId="5F1FDA21" w14:textId="77777777">
      <w:pPr>
        <w:pStyle w:val="TOC1"/>
        <w:rPr>
          <w:rFonts w:eastAsiaTheme="minorEastAsia"/>
          <w:noProof/>
          <w:szCs w:val="22"/>
          <w:lang w:eastAsia="en-NZ"/>
        </w:rPr>
      </w:pPr>
      <w:hyperlink w:history="1" w:anchor="_Toc433976123">
        <w:r w:rsidRPr="009C4514">
          <w:rPr>
            <w:rStyle w:val="Hyperlink"/>
            <w:noProof/>
          </w:rPr>
          <w:t>4</w:t>
        </w:r>
        <w:r>
          <w:rPr>
            <w:rFonts w:eastAsiaTheme="minorEastAsia"/>
            <w:noProof/>
            <w:szCs w:val="22"/>
            <w:lang w:eastAsia="en-NZ"/>
          </w:rPr>
          <w:tab/>
        </w:r>
        <w:r w:rsidRPr="009C4514">
          <w:rPr>
            <w:rStyle w:val="Hyperlink"/>
            <w:noProof/>
          </w:rPr>
          <w:t>Organisational boundaries included for this reporting period</w:t>
        </w:r>
        <w:r>
          <w:rPr>
            <w:noProof/>
            <w:webHidden/>
          </w:rPr>
          <w:tab/>
        </w:r>
        <w:r>
          <w:rPr>
            <w:noProof/>
            <w:webHidden/>
          </w:rPr>
          <w:fldChar w:fldCharType="begin"/>
        </w:r>
        <w:r>
          <w:rPr>
            <w:noProof/>
            <w:webHidden/>
          </w:rPr>
          <w:instrText xml:space="preserve"> PAGEREF _Toc433976123 \h </w:instrText>
        </w:r>
        <w:r>
          <w:rPr>
            <w:noProof/>
            <w:webHidden/>
          </w:rPr>
        </w:r>
        <w:r>
          <w:rPr>
            <w:noProof/>
            <w:webHidden/>
          </w:rPr>
          <w:fldChar w:fldCharType="separate"/>
        </w:r>
        <w:r>
          <w:rPr>
            <w:noProof/>
            <w:webHidden/>
          </w:rPr>
          <w:t>5</w:t>
        </w:r>
        <w:r>
          <w:rPr>
            <w:noProof/>
            <w:webHidden/>
          </w:rPr>
          <w:fldChar w:fldCharType="end"/>
        </w:r>
      </w:hyperlink>
    </w:p>
    <w:p w:rsidR="00400DAB" w:rsidRDefault="00400DAB" w14:paraId="6400161A" w14:textId="77777777">
      <w:pPr>
        <w:pStyle w:val="TOC1"/>
        <w:rPr>
          <w:rFonts w:eastAsiaTheme="minorEastAsia"/>
          <w:noProof/>
          <w:szCs w:val="22"/>
          <w:lang w:eastAsia="en-NZ"/>
        </w:rPr>
      </w:pPr>
      <w:hyperlink w:history="1" w:anchor="_Toc433976124">
        <w:r w:rsidRPr="009C4514">
          <w:rPr>
            <w:rStyle w:val="Hyperlink"/>
            <w:noProof/>
          </w:rPr>
          <w:t>5</w:t>
        </w:r>
        <w:r>
          <w:rPr>
            <w:rFonts w:eastAsiaTheme="minorEastAsia"/>
            <w:noProof/>
            <w:szCs w:val="22"/>
            <w:lang w:eastAsia="en-NZ"/>
          </w:rPr>
          <w:tab/>
        </w:r>
        <w:r w:rsidRPr="009C4514">
          <w:rPr>
            <w:rStyle w:val="Hyperlink"/>
            <w:noProof/>
          </w:rPr>
          <w:t>Organisational business units excluded from inventory</w:t>
        </w:r>
        <w:r>
          <w:rPr>
            <w:noProof/>
            <w:webHidden/>
          </w:rPr>
          <w:tab/>
        </w:r>
        <w:r>
          <w:rPr>
            <w:noProof/>
            <w:webHidden/>
          </w:rPr>
          <w:fldChar w:fldCharType="begin"/>
        </w:r>
        <w:r>
          <w:rPr>
            <w:noProof/>
            <w:webHidden/>
          </w:rPr>
          <w:instrText xml:space="preserve"> PAGEREF _Toc433976124 \h </w:instrText>
        </w:r>
        <w:r>
          <w:rPr>
            <w:noProof/>
            <w:webHidden/>
          </w:rPr>
        </w:r>
        <w:r>
          <w:rPr>
            <w:noProof/>
            <w:webHidden/>
          </w:rPr>
          <w:fldChar w:fldCharType="separate"/>
        </w:r>
        <w:r>
          <w:rPr>
            <w:noProof/>
            <w:webHidden/>
          </w:rPr>
          <w:t>6</w:t>
        </w:r>
        <w:r>
          <w:rPr>
            <w:noProof/>
            <w:webHidden/>
          </w:rPr>
          <w:fldChar w:fldCharType="end"/>
        </w:r>
      </w:hyperlink>
    </w:p>
    <w:p w:rsidR="00400DAB" w:rsidRDefault="00400DAB" w14:paraId="725CD5C8" w14:textId="77777777">
      <w:pPr>
        <w:pStyle w:val="TOC1"/>
        <w:rPr>
          <w:rFonts w:eastAsiaTheme="minorEastAsia"/>
          <w:noProof/>
          <w:szCs w:val="22"/>
          <w:lang w:eastAsia="en-NZ"/>
        </w:rPr>
      </w:pPr>
      <w:hyperlink w:history="1" w:anchor="_Toc433976125">
        <w:r w:rsidRPr="009C4514">
          <w:rPr>
            <w:rStyle w:val="Hyperlink"/>
            <w:noProof/>
          </w:rPr>
          <w:t>6</w:t>
        </w:r>
        <w:r>
          <w:rPr>
            <w:rFonts w:eastAsiaTheme="minorEastAsia"/>
            <w:noProof/>
            <w:szCs w:val="22"/>
            <w:lang w:eastAsia="en-NZ"/>
          </w:rPr>
          <w:tab/>
        </w:r>
        <w:r w:rsidRPr="009C4514">
          <w:rPr>
            <w:rStyle w:val="Hyperlink"/>
            <w:noProof/>
          </w:rPr>
          <w:t>GHG emissions source inclusions</w:t>
        </w:r>
        <w:r>
          <w:rPr>
            <w:noProof/>
            <w:webHidden/>
          </w:rPr>
          <w:tab/>
        </w:r>
        <w:r>
          <w:rPr>
            <w:noProof/>
            <w:webHidden/>
          </w:rPr>
          <w:fldChar w:fldCharType="begin"/>
        </w:r>
        <w:r>
          <w:rPr>
            <w:noProof/>
            <w:webHidden/>
          </w:rPr>
          <w:instrText xml:space="preserve"> PAGEREF _Toc433976125 \h </w:instrText>
        </w:r>
        <w:r>
          <w:rPr>
            <w:noProof/>
            <w:webHidden/>
          </w:rPr>
        </w:r>
        <w:r>
          <w:rPr>
            <w:noProof/>
            <w:webHidden/>
          </w:rPr>
          <w:fldChar w:fldCharType="separate"/>
        </w:r>
        <w:r>
          <w:rPr>
            <w:noProof/>
            <w:webHidden/>
          </w:rPr>
          <w:t>6</w:t>
        </w:r>
        <w:r>
          <w:rPr>
            <w:noProof/>
            <w:webHidden/>
          </w:rPr>
          <w:fldChar w:fldCharType="end"/>
        </w:r>
      </w:hyperlink>
    </w:p>
    <w:p w:rsidR="00400DAB" w:rsidRDefault="00400DAB" w14:paraId="6E8260E6" w14:textId="77777777">
      <w:pPr>
        <w:pStyle w:val="TOC2"/>
        <w:rPr>
          <w:rFonts w:asciiTheme="minorHAnsi" w:hAnsiTheme="minorHAnsi" w:eastAsiaTheme="minorEastAsia"/>
          <w:noProof/>
          <w:sz w:val="22"/>
        </w:rPr>
      </w:pPr>
      <w:hyperlink w:history="1" w:anchor="_Toc433976126">
        <w:r w:rsidRPr="009C4514">
          <w:rPr>
            <w:rStyle w:val="Hyperlink"/>
            <w:noProof/>
          </w:rPr>
          <w:t>6.1</w:t>
        </w:r>
        <w:r>
          <w:rPr>
            <w:rFonts w:asciiTheme="minorHAnsi" w:hAnsiTheme="minorHAnsi" w:eastAsiaTheme="minorEastAsia"/>
            <w:noProof/>
            <w:sz w:val="22"/>
          </w:rPr>
          <w:tab/>
        </w:r>
        <w:r w:rsidRPr="009C4514">
          <w:rPr>
            <w:rStyle w:val="Hyperlink"/>
            <w:noProof/>
          </w:rPr>
          <w:t>Other emissions – HFCs, PFCs and SF6</w:t>
        </w:r>
        <w:r>
          <w:rPr>
            <w:noProof/>
            <w:webHidden/>
          </w:rPr>
          <w:tab/>
        </w:r>
        <w:r>
          <w:rPr>
            <w:noProof/>
            <w:webHidden/>
          </w:rPr>
          <w:fldChar w:fldCharType="begin"/>
        </w:r>
        <w:r>
          <w:rPr>
            <w:noProof/>
            <w:webHidden/>
          </w:rPr>
          <w:instrText xml:space="preserve"> PAGEREF _Toc433976126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1ACC5284" w14:textId="77777777">
      <w:pPr>
        <w:pStyle w:val="TOC2"/>
        <w:rPr>
          <w:rFonts w:asciiTheme="minorHAnsi" w:hAnsiTheme="minorHAnsi" w:eastAsiaTheme="minorEastAsia"/>
          <w:noProof/>
          <w:sz w:val="22"/>
        </w:rPr>
      </w:pPr>
      <w:hyperlink w:history="1" w:anchor="_Toc433976127">
        <w:r w:rsidRPr="009C4514">
          <w:rPr>
            <w:rStyle w:val="Hyperlink"/>
            <w:noProof/>
          </w:rPr>
          <w:t>6.2</w:t>
        </w:r>
        <w:r>
          <w:rPr>
            <w:rFonts w:asciiTheme="minorHAnsi" w:hAnsiTheme="minorHAnsi" w:eastAsiaTheme="minorEastAsia"/>
            <w:noProof/>
            <w:sz w:val="22"/>
          </w:rPr>
          <w:tab/>
        </w:r>
        <w:r w:rsidRPr="009C4514">
          <w:rPr>
            <w:rStyle w:val="Hyperlink"/>
            <w:noProof/>
          </w:rPr>
          <w:t>Other emissions – biomass</w:t>
        </w:r>
        <w:r>
          <w:rPr>
            <w:noProof/>
            <w:webHidden/>
          </w:rPr>
          <w:tab/>
        </w:r>
        <w:r>
          <w:rPr>
            <w:noProof/>
            <w:webHidden/>
          </w:rPr>
          <w:fldChar w:fldCharType="begin"/>
        </w:r>
        <w:r>
          <w:rPr>
            <w:noProof/>
            <w:webHidden/>
          </w:rPr>
          <w:instrText xml:space="preserve"> PAGEREF _Toc433976127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2B864847" w14:textId="77777777">
      <w:pPr>
        <w:pStyle w:val="TOC2"/>
        <w:rPr>
          <w:rFonts w:asciiTheme="minorHAnsi" w:hAnsiTheme="minorHAnsi" w:eastAsiaTheme="minorEastAsia"/>
          <w:noProof/>
          <w:sz w:val="22"/>
        </w:rPr>
      </w:pPr>
      <w:hyperlink w:history="1" w:anchor="_Toc433976128">
        <w:r w:rsidRPr="009C4514">
          <w:rPr>
            <w:rStyle w:val="Hyperlink"/>
            <w:noProof/>
          </w:rPr>
          <w:t>6.3</w:t>
        </w:r>
        <w:r>
          <w:rPr>
            <w:rFonts w:asciiTheme="minorHAnsi" w:hAnsiTheme="minorHAnsi" w:eastAsiaTheme="minorEastAsia"/>
            <w:noProof/>
            <w:sz w:val="22"/>
          </w:rPr>
          <w:tab/>
        </w:r>
        <w:r w:rsidRPr="009C4514">
          <w:rPr>
            <w:rStyle w:val="Hyperlink"/>
            <w:noProof/>
          </w:rPr>
          <w:t>Other emissions – deforestation</w:t>
        </w:r>
        <w:r>
          <w:rPr>
            <w:noProof/>
            <w:webHidden/>
          </w:rPr>
          <w:tab/>
        </w:r>
        <w:r>
          <w:rPr>
            <w:noProof/>
            <w:webHidden/>
          </w:rPr>
          <w:fldChar w:fldCharType="begin"/>
        </w:r>
        <w:r>
          <w:rPr>
            <w:noProof/>
            <w:webHidden/>
          </w:rPr>
          <w:instrText xml:space="preserve"> PAGEREF _Toc433976128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598F99B8" w14:textId="77777777">
      <w:pPr>
        <w:pStyle w:val="TOC2"/>
        <w:rPr>
          <w:rFonts w:asciiTheme="minorHAnsi" w:hAnsiTheme="minorHAnsi" w:eastAsiaTheme="minorEastAsia"/>
          <w:noProof/>
          <w:sz w:val="22"/>
        </w:rPr>
      </w:pPr>
      <w:hyperlink w:history="1" w:anchor="_Toc433976129">
        <w:r w:rsidRPr="009C4514">
          <w:rPr>
            <w:rStyle w:val="Hyperlink"/>
            <w:noProof/>
          </w:rPr>
          <w:t>6.4</w:t>
        </w:r>
        <w:r>
          <w:rPr>
            <w:rFonts w:asciiTheme="minorHAnsi" w:hAnsiTheme="minorHAnsi" w:eastAsiaTheme="minorEastAsia"/>
            <w:noProof/>
            <w:sz w:val="22"/>
          </w:rPr>
          <w:tab/>
        </w:r>
        <w:r w:rsidRPr="009C4514">
          <w:rPr>
            <w:rStyle w:val="Hyperlink"/>
            <w:noProof/>
          </w:rPr>
          <w:t>Pre-verified data</w:t>
        </w:r>
        <w:r>
          <w:rPr>
            <w:noProof/>
            <w:webHidden/>
          </w:rPr>
          <w:tab/>
        </w:r>
        <w:r>
          <w:rPr>
            <w:noProof/>
            <w:webHidden/>
          </w:rPr>
          <w:fldChar w:fldCharType="begin"/>
        </w:r>
        <w:r>
          <w:rPr>
            <w:noProof/>
            <w:webHidden/>
          </w:rPr>
          <w:instrText xml:space="preserve"> PAGEREF _Toc433976129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7508FE15" w14:textId="77777777">
      <w:pPr>
        <w:pStyle w:val="TOC1"/>
        <w:rPr>
          <w:rFonts w:eastAsiaTheme="minorEastAsia"/>
          <w:noProof/>
          <w:szCs w:val="22"/>
          <w:lang w:eastAsia="en-NZ"/>
        </w:rPr>
      </w:pPr>
      <w:hyperlink w:history="1" w:anchor="_Toc433976130">
        <w:r w:rsidRPr="009C4514">
          <w:rPr>
            <w:rStyle w:val="Hyperlink"/>
            <w:noProof/>
          </w:rPr>
          <w:t>7</w:t>
        </w:r>
        <w:r>
          <w:rPr>
            <w:rFonts w:eastAsiaTheme="minorEastAsia"/>
            <w:noProof/>
            <w:szCs w:val="22"/>
            <w:lang w:eastAsia="en-NZ"/>
          </w:rPr>
          <w:tab/>
        </w:r>
        <w:r w:rsidRPr="009C4514">
          <w:rPr>
            <w:rStyle w:val="Hyperlink"/>
            <w:noProof/>
          </w:rPr>
          <w:t>GHG emissions source exclusions</w:t>
        </w:r>
        <w:r>
          <w:rPr>
            <w:noProof/>
            <w:webHidden/>
          </w:rPr>
          <w:tab/>
        </w:r>
        <w:r>
          <w:rPr>
            <w:noProof/>
            <w:webHidden/>
          </w:rPr>
          <w:fldChar w:fldCharType="begin"/>
        </w:r>
        <w:r>
          <w:rPr>
            <w:noProof/>
            <w:webHidden/>
          </w:rPr>
          <w:instrText xml:space="preserve"> PAGEREF _Toc433976130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75086E73" w14:textId="77777777">
      <w:pPr>
        <w:pStyle w:val="TOC1"/>
        <w:rPr>
          <w:rFonts w:eastAsiaTheme="minorEastAsia"/>
          <w:noProof/>
          <w:szCs w:val="22"/>
          <w:lang w:eastAsia="en-NZ"/>
        </w:rPr>
      </w:pPr>
      <w:hyperlink w:history="1" w:anchor="_Toc433976131">
        <w:r w:rsidRPr="009C4514">
          <w:rPr>
            <w:rStyle w:val="Hyperlink"/>
            <w:noProof/>
          </w:rPr>
          <w:t>8</w:t>
        </w:r>
        <w:r>
          <w:rPr>
            <w:rFonts w:eastAsiaTheme="minorEastAsia"/>
            <w:noProof/>
            <w:szCs w:val="22"/>
            <w:lang w:eastAsia="en-NZ"/>
          </w:rPr>
          <w:tab/>
        </w:r>
        <w:r w:rsidRPr="009C4514">
          <w:rPr>
            <w:rStyle w:val="Hyperlink"/>
            <w:noProof/>
          </w:rPr>
          <w:t>Data collection and uncertainties</w:t>
        </w:r>
        <w:r>
          <w:rPr>
            <w:noProof/>
            <w:webHidden/>
          </w:rPr>
          <w:tab/>
        </w:r>
        <w:r>
          <w:rPr>
            <w:noProof/>
            <w:webHidden/>
          </w:rPr>
          <w:fldChar w:fldCharType="begin"/>
        </w:r>
        <w:r>
          <w:rPr>
            <w:noProof/>
            <w:webHidden/>
          </w:rPr>
          <w:instrText xml:space="preserve"> PAGEREF _Toc433976131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5F8237AC" w14:textId="77777777">
      <w:pPr>
        <w:pStyle w:val="TOC1"/>
        <w:rPr>
          <w:rFonts w:eastAsiaTheme="minorEastAsia"/>
          <w:noProof/>
          <w:szCs w:val="22"/>
          <w:lang w:eastAsia="en-NZ"/>
        </w:rPr>
      </w:pPr>
      <w:hyperlink w:history="1" w:anchor="_Toc433976132">
        <w:r w:rsidRPr="009C4514">
          <w:rPr>
            <w:rStyle w:val="Hyperlink"/>
            <w:noProof/>
          </w:rPr>
          <w:t>9</w:t>
        </w:r>
        <w:r>
          <w:rPr>
            <w:rFonts w:eastAsiaTheme="minorEastAsia"/>
            <w:noProof/>
            <w:szCs w:val="22"/>
            <w:lang w:eastAsia="en-NZ"/>
          </w:rPr>
          <w:tab/>
        </w:r>
        <w:r w:rsidRPr="009C4514">
          <w:rPr>
            <w:rStyle w:val="Hyperlink"/>
            <w:noProof/>
          </w:rPr>
          <w:t>GHG emissions calculations and results</w:t>
        </w:r>
        <w:r>
          <w:rPr>
            <w:noProof/>
            <w:webHidden/>
          </w:rPr>
          <w:tab/>
        </w:r>
        <w:r>
          <w:rPr>
            <w:noProof/>
            <w:webHidden/>
          </w:rPr>
          <w:fldChar w:fldCharType="begin"/>
        </w:r>
        <w:r>
          <w:rPr>
            <w:noProof/>
            <w:webHidden/>
          </w:rPr>
          <w:instrText xml:space="preserve"> PAGEREF _Toc433976132 \h </w:instrText>
        </w:r>
        <w:r>
          <w:rPr>
            <w:noProof/>
            <w:webHidden/>
          </w:rPr>
        </w:r>
        <w:r>
          <w:rPr>
            <w:noProof/>
            <w:webHidden/>
          </w:rPr>
          <w:fldChar w:fldCharType="separate"/>
        </w:r>
        <w:r>
          <w:rPr>
            <w:noProof/>
            <w:webHidden/>
          </w:rPr>
          <w:t>8</w:t>
        </w:r>
        <w:r>
          <w:rPr>
            <w:noProof/>
            <w:webHidden/>
          </w:rPr>
          <w:fldChar w:fldCharType="end"/>
        </w:r>
      </w:hyperlink>
    </w:p>
    <w:p w:rsidR="00400DAB" w:rsidRDefault="00400DAB" w14:paraId="219EB21B" w14:textId="77777777">
      <w:pPr>
        <w:pStyle w:val="TOC1"/>
        <w:rPr>
          <w:rFonts w:eastAsiaTheme="minorEastAsia"/>
          <w:noProof/>
          <w:szCs w:val="22"/>
          <w:lang w:eastAsia="en-NZ"/>
        </w:rPr>
      </w:pPr>
      <w:hyperlink w:history="1" w:anchor="_Toc433976133">
        <w:r w:rsidRPr="009C4514">
          <w:rPr>
            <w:rStyle w:val="Hyperlink"/>
            <w:noProof/>
          </w:rPr>
          <w:t>10</w:t>
        </w:r>
        <w:r>
          <w:rPr>
            <w:rFonts w:eastAsiaTheme="minorEastAsia"/>
            <w:noProof/>
            <w:szCs w:val="22"/>
            <w:lang w:eastAsia="en-NZ"/>
          </w:rPr>
          <w:tab/>
        </w:r>
        <w:r w:rsidRPr="009C4514">
          <w:rPr>
            <w:rStyle w:val="Hyperlink"/>
            <w:noProof/>
          </w:rPr>
          <w:t>GHG emissions reductions and removals enhancement</w:t>
        </w:r>
        <w:r>
          <w:rPr>
            <w:noProof/>
            <w:webHidden/>
          </w:rPr>
          <w:tab/>
        </w:r>
        <w:r>
          <w:rPr>
            <w:noProof/>
            <w:webHidden/>
          </w:rPr>
          <w:fldChar w:fldCharType="begin"/>
        </w:r>
        <w:r>
          <w:rPr>
            <w:noProof/>
            <w:webHidden/>
          </w:rPr>
          <w:instrText xml:space="preserve"> PAGEREF _Toc433976133 \h </w:instrText>
        </w:r>
        <w:r>
          <w:rPr>
            <w:noProof/>
            <w:webHidden/>
          </w:rPr>
        </w:r>
        <w:r>
          <w:rPr>
            <w:noProof/>
            <w:webHidden/>
          </w:rPr>
          <w:fldChar w:fldCharType="separate"/>
        </w:r>
        <w:r>
          <w:rPr>
            <w:noProof/>
            <w:webHidden/>
          </w:rPr>
          <w:t>9</w:t>
        </w:r>
        <w:r>
          <w:rPr>
            <w:noProof/>
            <w:webHidden/>
          </w:rPr>
          <w:fldChar w:fldCharType="end"/>
        </w:r>
      </w:hyperlink>
    </w:p>
    <w:p w:rsidR="00400DAB" w:rsidRDefault="00400DAB" w14:paraId="60236982" w14:textId="77777777">
      <w:pPr>
        <w:pStyle w:val="TOC1"/>
        <w:rPr>
          <w:rFonts w:eastAsiaTheme="minorEastAsia"/>
          <w:noProof/>
          <w:szCs w:val="22"/>
          <w:lang w:eastAsia="en-NZ"/>
        </w:rPr>
      </w:pPr>
      <w:hyperlink w:history="1" w:anchor="_Toc433976134">
        <w:r w:rsidRPr="009C4514">
          <w:rPr>
            <w:rStyle w:val="Hyperlink"/>
            <w:noProof/>
          </w:rPr>
          <w:t>11</w:t>
        </w:r>
        <w:r>
          <w:rPr>
            <w:rFonts w:eastAsiaTheme="minorEastAsia"/>
            <w:noProof/>
            <w:szCs w:val="22"/>
            <w:lang w:eastAsia="en-NZ"/>
          </w:rPr>
          <w:tab/>
        </w:r>
        <w:r w:rsidRPr="009C4514">
          <w:rPr>
            <w:rStyle w:val="Hyperlink"/>
            <w:noProof/>
          </w:rPr>
          <w:t>Liabilities</w:t>
        </w:r>
        <w:r>
          <w:rPr>
            <w:noProof/>
            <w:webHidden/>
          </w:rPr>
          <w:tab/>
        </w:r>
        <w:r>
          <w:rPr>
            <w:noProof/>
            <w:webHidden/>
          </w:rPr>
          <w:fldChar w:fldCharType="begin"/>
        </w:r>
        <w:r>
          <w:rPr>
            <w:noProof/>
            <w:webHidden/>
          </w:rPr>
          <w:instrText xml:space="preserve"> PAGEREF _Toc433976134 \h </w:instrText>
        </w:r>
        <w:r>
          <w:rPr>
            <w:noProof/>
            <w:webHidden/>
          </w:rPr>
        </w:r>
        <w:r>
          <w:rPr>
            <w:noProof/>
            <w:webHidden/>
          </w:rPr>
          <w:fldChar w:fldCharType="separate"/>
        </w:r>
        <w:r>
          <w:rPr>
            <w:noProof/>
            <w:webHidden/>
          </w:rPr>
          <w:t>9</w:t>
        </w:r>
        <w:r>
          <w:rPr>
            <w:noProof/>
            <w:webHidden/>
          </w:rPr>
          <w:fldChar w:fldCharType="end"/>
        </w:r>
      </w:hyperlink>
    </w:p>
    <w:p w:rsidR="00400DAB" w:rsidRDefault="00400DAB" w14:paraId="499386CE" w14:textId="77777777">
      <w:pPr>
        <w:pStyle w:val="TOC2"/>
        <w:rPr>
          <w:rFonts w:asciiTheme="minorHAnsi" w:hAnsiTheme="minorHAnsi" w:eastAsiaTheme="minorEastAsia"/>
          <w:noProof/>
          <w:sz w:val="22"/>
        </w:rPr>
      </w:pPr>
      <w:hyperlink w:history="1" w:anchor="_Toc433976135">
        <w:r w:rsidRPr="009C4514">
          <w:rPr>
            <w:rStyle w:val="Hyperlink"/>
            <w:noProof/>
          </w:rPr>
          <w:t>11.1</w:t>
        </w:r>
        <w:r>
          <w:rPr>
            <w:rFonts w:asciiTheme="minorHAnsi" w:hAnsiTheme="minorHAnsi" w:eastAsiaTheme="minorEastAsia"/>
            <w:noProof/>
            <w:sz w:val="22"/>
          </w:rPr>
          <w:tab/>
        </w:r>
        <w:r w:rsidRPr="009C4514">
          <w:rPr>
            <w:rStyle w:val="Hyperlink"/>
            <w:noProof/>
          </w:rPr>
          <w:t>GHG stocks held</w:t>
        </w:r>
        <w:r>
          <w:rPr>
            <w:noProof/>
            <w:webHidden/>
          </w:rPr>
          <w:tab/>
        </w:r>
        <w:r>
          <w:rPr>
            <w:noProof/>
            <w:webHidden/>
          </w:rPr>
          <w:fldChar w:fldCharType="begin"/>
        </w:r>
        <w:r>
          <w:rPr>
            <w:noProof/>
            <w:webHidden/>
          </w:rPr>
          <w:instrText xml:space="preserve"> PAGEREF _Toc433976135 \h </w:instrText>
        </w:r>
        <w:r>
          <w:rPr>
            <w:noProof/>
            <w:webHidden/>
          </w:rPr>
        </w:r>
        <w:r>
          <w:rPr>
            <w:noProof/>
            <w:webHidden/>
          </w:rPr>
          <w:fldChar w:fldCharType="separate"/>
        </w:r>
        <w:r>
          <w:rPr>
            <w:noProof/>
            <w:webHidden/>
          </w:rPr>
          <w:t>9</w:t>
        </w:r>
        <w:r>
          <w:rPr>
            <w:noProof/>
            <w:webHidden/>
          </w:rPr>
          <w:fldChar w:fldCharType="end"/>
        </w:r>
      </w:hyperlink>
    </w:p>
    <w:p w:rsidR="00400DAB" w:rsidRDefault="00400DAB" w14:paraId="3BA759DD" w14:textId="77777777">
      <w:pPr>
        <w:pStyle w:val="TOC2"/>
        <w:rPr>
          <w:rFonts w:asciiTheme="minorHAnsi" w:hAnsiTheme="minorHAnsi" w:eastAsiaTheme="minorEastAsia"/>
          <w:noProof/>
          <w:sz w:val="22"/>
        </w:rPr>
      </w:pPr>
      <w:hyperlink w:history="1" w:anchor="_Toc433976136">
        <w:r w:rsidRPr="009C4514">
          <w:rPr>
            <w:rStyle w:val="Hyperlink"/>
            <w:noProof/>
          </w:rPr>
          <w:t>11.2</w:t>
        </w:r>
        <w:r>
          <w:rPr>
            <w:rFonts w:asciiTheme="minorHAnsi" w:hAnsiTheme="minorHAnsi" w:eastAsiaTheme="minorEastAsia"/>
            <w:noProof/>
            <w:sz w:val="22"/>
          </w:rPr>
          <w:tab/>
        </w:r>
        <w:r w:rsidRPr="009C4514">
          <w:rPr>
            <w:rStyle w:val="Hyperlink"/>
            <w:noProof/>
          </w:rPr>
          <w:t>Land-use change</w:t>
        </w:r>
        <w:r>
          <w:rPr>
            <w:noProof/>
            <w:webHidden/>
          </w:rPr>
          <w:tab/>
        </w:r>
        <w:r>
          <w:rPr>
            <w:noProof/>
            <w:webHidden/>
          </w:rPr>
          <w:fldChar w:fldCharType="begin"/>
        </w:r>
        <w:r>
          <w:rPr>
            <w:noProof/>
            <w:webHidden/>
          </w:rPr>
          <w:instrText xml:space="preserve"> PAGEREF _Toc433976136 \h </w:instrText>
        </w:r>
        <w:r>
          <w:rPr>
            <w:noProof/>
            <w:webHidden/>
          </w:rPr>
        </w:r>
        <w:r>
          <w:rPr>
            <w:noProof/>
            <w:webHidden/>
          </w:rPr>
          <w:fldChar w:fldCharType="separate"/>
        </w:r>
        <w:r>
          <w:rPr>
            <w:noProof/>
            <w:webHidden/>
          </w:rPr>
          <w:t>10</w:t>
        </w:r>
        <w:r>
          <w:rPr>
            <w:noProof/>
            <w:webHidden/>
          </w:rPr>
          <w:fldChar w:fldCharType="end"/>
        </w:r>
      </w:hyperlink>
    </w:p>
    <w:p w:rsidR="00400DAB" w:rsidRDefault="00400DAB" w14:paraId="1E2F42A3" w14:textId="77777777">
      <w:pPr>
        <w:pStyle w:val="TOC1"/>
        <w:rPr>
          <w:rFonts w:eastAsiaTheme="minorEastAsia"/>
          <w:noProof/>
          <w:szCs w:val="22"/>
          <w:lang w:eastAsia="en-NZ"/>
        </w:rPr>
      </w:pPr>
      <w:hyperlink w:history="1" w:anchor="_Toc433976137">
        <w:r w:rsidRPr="009C4514">
          <w:rPr>
            <w:rStyle w:val="Hyperlink"/>
            <w:noProof/>
          </w:rPr>
          <w:t>12</w:t>
        </w:r>
        <w:r>
          <w:rPr>
            <w:rFonts w:eastAsiaTheme="minorEastAsia"/>
            <w:noProof/>
            <w:szCs w:val="22"/>
            <w:lang w:eastAsia="en-NZ"/>
          </w:rPr>
          <w:tab/>
        </w:r>
        <w:r w:rsidRPr="009C4514">
          <w:rPr>
            <w:rStyle w:val="Hyperlink"/>
            <w:noProof/>
          </w:rPr>
          <w:t>Purchased reductions</w:t>
        </w:r>
        <w:r>
          <w:rPr>
            <w:noProof/>
            <w:webHidden/>
          </w:rPr>
          <w:tab/>
        </w:r>
        <w:r>
          <w:rPr>
            <w:noProof/>
            <w:webHidden/>
          </w:rPr>
          <w:fldChar w:fldCharType="begin"/>
        </w:r>
        <w:r>
          <w:rPr>
            <w:noProof/>
            <w:webHidden/>
          </w:rPr>
          <w:instrText xml:space="preserve"> PAGEREF _Toc433976137 \h </w:instrText>
        </w:r>
        <w:r>
          <w:rPr>
            <w:noProof/>
            <w:webHidden/>
          </w:rPr>
        </w:r>
        <w:r>
          <w:rPr>
            <w:noProof/>
            <w:webHidden/>
          </w:rPr>
          <w:fldChar w:fldCharType="separate"/>
        </w:r>
        <w:r>
          <w:rPr>
            <w:noProof/>
            <w:webHidden/>
          </w:rPr>
          <w:t>10</w:t>
        </w:r>
        <w:r>
          <w:rPr>
            <w:noProof/>
            <w:webHidden/>
          </w:rPr>
          <w:fldChar w:fldCharType="end"/>
        </w:r>
      </w:hyperlink>
    </w:p>
    <w:p w:rsidR="00400DAB" w:rsidRDefault="00400DAB" w14:paraId="161C2868" w14:textId="77777777">
      <w:pPr>
        <w:pStyle w:val="TOC1"/>
        <w:rPr>
          <w:rFonts w:eastAsiaTheme="minorEastAsia"/>
          <w:noProof/>
          <w:szCs w:val="22"/>
          <w:lang w:eastAsia="en-NZ"/>
        </w:rPr>
      </w:pPr>
      <w:hyperlink w:history="1" w:anchor="_Toc433976138">
        <w:r w:rsidRPr="009C4514">
          <w:rPr>
            <w:rStyle w:val="Hyperlink"/>
            <w:noProof/>
          </w:rPr>
          <w:t>13</w:t>
        </w:r>
        <w:r>
          <w:rPr>
            <w:rFonts w:eastAsiaTheme="minorEastAsia"/>
            <w:noProof/>
            <w:szCs w:val="22"/>
            <w:lang w:eastAsia="en-NZ"/>
          </w:rPr>
          <w:tab/>
        </w:r>
        <w:r w:rsidRPr="009C4514">
          <w:rPr>
            <w:rStyle w:val="Hyperlink"/>
            <w:noProof/>
          </w:rPr>
          <w:t>Double counting / double offsetting</w:t>
        </w:r>
        <w:r>
          <w:rPr>
            <w:noProof/>
            <w:webHidden/>
          </w:rPr>
          <w:tab/>
        </w:r>
        <w:r>
          <w:rPr>
            <w:noProof/>
            <w:webHidden/>
          </w:rPr>
          <w:fldChar w:fldCharType="begin"/>
        </w:r>
        <w:r>
          <w:rPr>
            <w:noProof/>
            <w:webHidden/>
          </w:rPr>
          <w:instrText xml:space="preserve"> PAGEREF _Toc433976138 \h </w:instrText>
        </w:r>
        <w:r>
          <w:rPr>
            <w:noProof/>
            <w:webHidden/>
          </w:rPr>
        </w:r>
        <w:r>
          <w:rPr>
            <w:noProof/>
            <w:webHidden/>
          </w:rPr>
          <w:fldChar w:fldCharType="separate"/>
        </w:r>
        <w:r>
          <w:rPr>
            <w:noProof/>
            <w:webHidden/>
          </w:rPr>
          <w:t>10</w:t>
        </w:r>
        <w:r>
          <w:rPr>
            <w:noProof/>
            <w:webHidden/>
          </w:rPr>
          <w:fldChar w:fldCharType="end"/>
        </w:r>
      </w:hyperlink>
    </w:p>
    <w:p w:rsidR="00400DAB" w:rsidRDefault="00400DAB" w14:paraId="5146D24E" w14:textId="77777777">
      <w:pPr>
        <w:pStyle w:val="TOC1"/>
        <w:rPr>
          <w:rFonts w:eastAsiaTheme="minorEastAsia"/>
          <w:noProof/>
          <w:szCs w:val="22"/>
          <w:lang w:eastAsia="en-NZ"/>
        </w:rPr>
      </w:pPr>
      <w:hyperlink w:history="1" w:anchor="_Toc433976139">
        <w:r w:rsidRPr="009C4514">
          <w:rPr>
            <w:rStyle w:val="Hyperlink"/>
            <w:noProof/>
          </w:rPr>
          <w:t>14</w:t>
        </w:r>
        <w:r>
          <w:rPr>
            <w:rFonts w:eastAsiaTheme="minorEastAsia"/>
            <w:noProof/>
            <w:szCs w:val="22"/>
            <w:lang w:eastAsia="en-NZ"/>
          </w:rPr>
          <w:tab/>
        </w:r>
        <w:r w:rsidRPr="009C4514">
          <w:rPr>
            <w:rStyle w:val="Hyperlink"/>
            <w:noProof/>
          </w:rPr>
          <w:t>References</w:t>
        </w:r>
        <w:r>
          <w:rPr>
            <w:noProof/>
            <w:webHidden/>
          </w:rPr>
          <w:tab/>
        </w:r>
        <w:r>
          <w:rPr>
            <w:noProof/>
            <w:webHidden/>
          </w:rPr>
          <w:fldChar w:fldCharType="begin"/>
        </w:r>
        <w:r>
          <w:rPr>
            <w:noProof/>
            <w:webHidden/>
          </w:rPr>
          <w:instrText xml:space="preserve"> PAGEREF _Toc433976139 \h </w:instrText>
        </w:r>
        <w:r>
          <w:rPr>
            <w:noProof/>
            <w:webHidden/>
          </w:rPr>
        </w:r>
        <w:r>
          <w:rPr>
            <w:noProof/>
            <w:webHidden/>
          </w:rPr>
          <w:fldChar w:fldCharType="separate"/>
        </w:r>
        <w:r>
          <w:rPr>
            <w:noProof/>
            <w:webHidden/>
          </w:rPr>
          <w:t>10</w:t>
        </w:r>
        <w:r>
          <w:rPr>
            <w:noProof/>
            <w:webHidden/>
          </w:rPr>
          <w:fldChar w:fldCharType="end"/>
        </w:r>
      </w:hyperlink>
    </w:p>
    <w:p w:rsidR="00400DAB" w:rsidRDefault="00400DAB" w14:paraId="24FEE0D7" w14:textId="77777777">
      <w:pPr>
        <w:pStyle w:val="TOC1"/>
        <w:rPr>
          <w:rFonts w:eastAsiaTheme="minorEastAsia"/>
          <w:noProof/>
          <w:szCs w:val="22"/>
          <w:lang w:eastAsia="en-NZ"/>
        </w:rPr>
      </w:pPr>
      <w:hyperlink w:history="1" w:anchor="_Toc433976140">
        <w:r w:rsidRPr="009C4514">
          <w:rPr>
            <w:rStyle w:val="Hyperlink"/>
            <w:noProof/>
          </w:rPr>
          <w:t>Appendix 1: GHG emissions data summary</w:t>
        </w:r>
        <w:r>
          <w:rPr>
            <w:noProof/>
            <w:webHidden/>
          </w:rPr>
          <w:tab/>
        </w:r>
        <w:r>
          <w:rPr>
            <w:noProof/>
            <w:webHidden/>
          </w:rPr>
          <w:fldChar w:fldCharType="begin"/>
        </w:r>
        <w:r>
          <w:rPr>
            <w:noProof/>
            <w:webHidden/>
          </w:rPr>
          <w:instrText xml:space="preserve"> PAGEREF _Toc433976140 \h </w:instrText>
        </w:r>
        <w:r>
          <w:rPr>
            <w:noProof/>
            <w:webHidden/>
          </w:rPr>
        </w:r>
        <w:r>
          <w:rPr>
            <w:noProof/>
            <w:webHidden/>
          </w:rPr>
          <w:fldChar w:fldCharType="separate"/>
        </w:r>
        <w:r>
          <w:rPr>
            <w:noProof/>
            <w:webHidden/>
          </w:rPr>
          <w:t>10</w:t>
        </w:r>
        <w:r>
          <w:rPr>
            <w:noProof/>
            <w:webHidden/>
          </w:rPr>
          <w:fldChar w:fldCharType="end"/>
        </w:r>
      </w:hyperlink>
    </w:p>
    <w:p w:rsidRPr="00082EE7" w:rsidR="00A23473" w:rsidP="00A23473" w:rsidRDefault="00400DAB" w14:paraId="0CD2F81B" w14:textId="38015C6B">
      <w:pPr>
        <w:tabs>
          <w:tab w:val="left" w:pos="284"/>
          <w:tab w:val="right" w:leader="dot" w:pos="9639"/>
        </w:tabs>
        <w:spacing w:after="0" w:line="240" w:lineRule="auto"/>
        <w:rPr>
          <w:szCs w:val="20"/>
        </w:rPr>
      </w:pPr>
      <w:r>
        <w:rPr>
          <w:sz w:val="22"/>
          <w:szCs w:val="20"/>
          <w:lang w:eastAsia="en-US"/>
        </w:rPr>
        <w:fldChar w:fldCharType="end"/>
      </w:r>
    </w:p>
    <w:p w:rsidR="002B7E9F" w:rsidP="00A23473" w:rsidRDefault="002B7E9F" w14:paraId="44885488" w14:textId="5B50E4FB">
      <w:pPr>
        <w:spacing w:after="200"/>
        <w:jc w:val="left"/>
      </w:pPr>
      <w:r>
        <w:br w:type="page"/>
      </w:r>
    </w:p>
    <w:p w:rsidRPr="002C1195" w:rsidR="00DE6672" w:rsidP="00A557E1" w:rsidRDefault="00DE6672" w14:paraId="06B78ABE" w14:textId="4D96883F">
      <w:pPr>
        <w:pStyle w:val="Heading1"/>
      </w:pPr>
      <w:bookmarkStart w:name="_Toc433976119" w:id="16"/>
      <w:r w:rsidRPr="002C1195">
        <w:lastRenderedPageBreak/>
        <w:t>Greenhouse Gas Emissions Inventory summary</w:t>
      </w:r>
      <w:bookmarkEnd w:id="16"/>
    </w:p>
    <w:p w:rsidR="004A6288" w:rsidP="00D722CA" w:rsidRDefault="002C1195" w14:paraId="2AE52307" w14:textId="0FB9B03C">
      <w:pPr>
        <w:pStyle w:val="Caption"/>
        <w:keepNext/>
        <w:keepLines/>
        <w:jc w:val="center"/>
        <w:rPr>
          <w:color w:val="6D6E70" w:themeColor="text2"/>
        </w:rPr>
      </w:pPr>
      <w:bookmarkStart w:name="_Toc300752068" w:id="17"/>
      <w:bookmarkStart w:name="_Toc300752207" w:id="18"/>
      <w:proofErr w:type="gramStart"/>
      <w:r w:rsidRPr="00F534CB">
        <w:rPr>
          <w:color w:val="6D6E70" w:themeColor="text2"/>
        </w:rPr>
        <w:t xml:space="preserve">Table </w:t>
      </w:r>
      <w:r w:rsidRPr="00F534CB">
        <w:rPr>
          <w:color w:val="6D6E70" w:themeColor="text2"/>
        </w:rPr>
        <w:fldChar w:fldCharType="begin"/>
      </w:r>
      <w:r w:rsidRPr="00F534CB">
        <w:rPr>
          <w:color w:val="6D6E70" w:themeColor="text2"/>
        </w:rPr>
        <w:instrText xml:space="preserve"> SEQ Table \* ARABIC </w:instrText>
      </w:r>
      <w:r w:rsidRPr="00F534CB">
        <w:rPr>
          <w:color w:val="6D6E70" w:themeColor="text2"/>
        </w:rPr>
        <w:fldChar w:fldCharType="separate"/>
      </w:r>
      <w:r w:rsidRPr="00F534CB" w:rsidR="00D929BE">
        <w:rPr>
          <w:noProof/>
          <w:color w:val="6D6E70" w:themeColor="text2"/>
        </w:rPr>
        <w:t>1</w:t>
      </w:r>
      <w:r w:rsidRPr="00F534CB">
        <w:rPr>
          <w:color w:val="6D6E70" w:themeColor="text2"/>
        </w:rPr>
        <w:fldChar w:fldCharType="end"/>
      </w:r>
      <w:r w:rsidRPr="00F534CB" w:rsidR="00DE6672">
        <w:rPr>
          <w:color w:val="6D6E70" w:themeColor="text2"/>
        </w:rPr>
        <w:t>: GHG emissions data summary</w:t>
      </w:r>
      <w:r w:rsidR="000B78DD">
        <w:rPr>
          <w:color w:val="6D6E70" w:themeColor="text2"/>
        </w:rPr>
        <w:t xml:space="preserve"> (tCO</w:t>
      </w:r>
      <w:bookmarkStart w:name="_GoBack" w:id="19"/>
      <w:r w:rsidRPr="000B78DD" w:rsidR="000B78DD">
        <w:rPr>
          <w:color w:val="6D6E70" w:themeColor="text2"/>
          <w:vertAlign w:val="subscript"/>
        </w:rPr>
        <w:t>2</w:t>
      </w:r>
      <w:bookmarkEnd w:id="19"/>
      <w:r w:rsidR="000B78DD">
        <w:rPr>
          <w:color w:val="6D6E70" w:themeColor="text2"/>
        </w:rPr>
        <w:t>e)</w:t>
      </w:r>
      <w:r w:rsidRPr="00F534CB" w:rsidR="00DE6672">
        <w:rPr>
          <w:color w:val="6D6E70" w:themeColor="text2"/>
        </w:rPr>
        <w:t>.</w:t>
      </w:r>
      <w:bookmarkEnd w:id="17"/>
      <w:bookmarkEnd w:id="18"/>
      <w:proofErr w:type="gramEnd"/>
      <w:r w:rsidRPr="00F534CB" w:rsidR="007B3403">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
            </w:r>
          </w:p>
        </w:tc>
        <w:tc>
          <w:tcPr>
            <w:shd w:themeFill="text2"/>
            <w:vAlign w:val="top"/>
          </w:tcPr>
          <w:p>
            <w:pPr>
              <w:keepLines/>
              <w:keepNext/>
              <w:jc w:val="right"/>
            </w:pPr>
            <w:r>
              <w:rPr>
                <w:b w:val="true"/>
                <w:color w:themeColor="background1"/>
              </w:rPr>
              <w:t xml:space="preserve">2016</w:t>
            </w:r>
          </w:p>
        </w:tc>
      </w:tr>
      <w:tr>
        <w:tc>
          <w:tcPr>
            <w:vAlign w:val="top"/>
          </w:tcPr>
          <w:p>
            <w:pPr>
              <w:keepLines/>
            </w:pPr>
            <w:r>
              <w:rPr/>
              <w:t xml:space="preserve">Scope 1</w:t>
            </w:r>
          </w:p>
        </w:tc>
        <w:tc>
          <w:tcPr>
            <w:vAlign w:val="top"/>
          </w:tcPr>
          <w:p>
            <w:pPr>
              <w:keepLines/>
              <w:jc w:val="right"/>
            </w:pPr>
            <w:r>
              <w:rPr/>
              <w:t xml:space="preserve">163.57</w:t>
            </w:r>
          </w:p>
        </w:tc>
      </w:tr>
      <w:tr>
        <w:tc>
          <w:tcPr>
            <w:vAlign w:val="top"/>
          </w:tcPr>
          <w:p>
            <w:pPr>
              <w:keepLines/>
            </w:pPr>
            <w:r>
              <w:rPr/>
              <w:t xml:space="preserve">Scope 2</w:t>
            </w:r>
          </w:p>
        </w:tc>
        <w:tc>
          <w:tcPr>
            <w:vAlign w:val="top"/>
          </w:tcPr>
          <w:p>
            <w:pPr>
              <w:keepLines/>
              <w:jc w:val="right"/>
            </w:pPr>
            <w:r>
              <w:rPr/>
              <w:t xml:space="preserve">624.00</w:t>
            </w:r>
          </w:p>
        </w:tc>
      </w:tr>
      <w:tr>
        <w:tc>
          <w:tcPr>
            <w:vAlign w:val="top"/>
          </w:tcPr>
          <w:p>
            <w:pPr>
              <w:keepLines/>
            </w:pPr>
            <w:r>
              <w:rPr/>
              <w:t xml:space="preserve">Scope 3 Mandatory</w:t>
            </w:r>
          </w:p>
        </w:tc>
        <w:tc>
          <w:tcPr>
            <w:vAlign w:val="top"/>
          </w:tcPr>
          <w:p>
            <w:pPr>
              <w:keepLines/>
              <w:jc w:val="right"/>
            </w:pPr>
            <w:r>
              <w:rPr/>
              <w:t xml:space="preserve">30.38</w:t>
            </w:r>
          </w:p>
        </w:tc>
      </w:tr>
      <w:tr>
        <w:tc>
          <w:tcPr>
            <w:vAlign w:val="top"/>
          </w:tcPr>
          <w:p>
            <w:pPr>
              <w:keepLines/>
            </w:pPr>
            <w:r>
              <w:rPr/>
              <w:t xml:space="preserve">Scope 3 Additional</w:t>
            </w:r>
          </w:p>
        </w:tc>
        <w:tc>
          <w:tcPr>
            <w:vAlign w:val="top"/>
          </w:tcPr>
          <w:p>
            <w:pPr>
              <w:keepLines/>
              <w:jc w:val="right"/>
            </w:pPr>
            <w:r>
              <w:rPr/>
              <w:t xml:space="preserve">0.00</w:t>
            </w:r>
          </w:p>
        </w:tc>
      </w:tr>
      <w:tr>
        <w:tc>
          <w:tcPr>
            <w:vAlign w:val="top"/>
          </w:tcPr>
          <w:p>
            <w:pPr>
              <w:keepLines/>
            </w:pPr>
            <w:r>
              <w:rPr/>
              <w:t xml:space="preserve">Scope 3 One time</w:t>
            </w:r>
          </w:p>
        </w:tc>
        <w:tc>
          <w:tcPr>
            <w:vAlign w:val="top"/>
          </w:tcPr>
          <w:p>
            <w:pPr>
              <w:keepLines/>
              <w:jc w:val="right"/>
            </w:pPr>
            <w:r>
              <w:rPr/>
              <w:t xml:space="preserve">0.00</w:t>
            </w:r>
          </w:p>
        </w:tc>
      </w:tr>
      <w:tr>
        <w:tc>
          <w:tcPr>
            <w:vAlign w:val="top"/>
          </w:tcPr>
          <w:p>
            <w:pPr>
              <w:keepLines/>
            </w:pPr>
            <w:r>
              <w:rPr/>
              <w:t xml:space="preserve">Total gross emissions</w:t>
            </w:r>
          </w:p>
        </w:tc>
        <w:tc>
          <w:tcPr>
            <w:vAlign w:val="top"/>
          </w:tcPr>
          <w:p>
            <w:pPr>
              <w:keepLines/>
              <w:jc w:val="right"/>
            </w:pPr>
            <w:r>
              <w:rPr/>
              <w:t xml:space="preserve">817.95</w:t>
            </w:r>
          </w:p>
        </w:tc>
      </w:tr>
      <w:tr>
        <w:tc>
          <w:tcPr>
            <w:vAlign w:val="top"/>
          </w:tcPr>
          <w:p>
            <w:pPr>
              <w:keepLines/>
            </w:pPr>
            <w:r>
              <w:rPr/>
              <w:t xml:space="preserve"/>
            </w:r>
          </w:p>
        </w:tc>
        <w:tc>
          <w:tcPr>
            <w:vAlign w:val="top"/>
          </w:tcPr>
          <w:p>
            <w:pPr>
              <w:keepLines/>
              <w:jc w:val="right"/>
            </w:pPr>
            <w:r>
              <w:rPr/>
              <w:t xml:space="preserve"/>
            </w:r>
          </w:p>
        </w:tc>
      </w:tr>
      <w:tr>
        <w:tc>
          <w:tcPr>
            <w:vAlign w:val="top"/>
          </w:tcPr>
          <w:p>
            <w:pPr>
              <w:keepLines/>
            </w:pPr>
            <w:r>
              <w:rPr/>
              <w:t xml:space="preserve">Certified green electricity</w:t>
            </w:r>
          </w:p>
        </w:tc>
        <w:tc>
          <w:tcPr>
            <w:vAlign w:val="top"/>
          </w:tcPr>
          <w:p>
            <w:pPr>
              <w:keepLines/>
              <w:jc w:val="right"/>
            </w:pPr>
            <w:r>
              <w:rPr/>
              <w:t xml:space="preserve">0.00</w:t>
            </w:r>
          </w:p>
        </w:tc>
      </w:tr>
      <w:tr>
        <w:tc>
          <w:tcPr>
            <w:vAlign w:val="top"/>
          </w:tcPr>
          <w:p>
            <w:pPr>
              <w:keepLines/>
            </w:pPr>
            <w:r>
              <w:rPr/>
              <w:t xml:space="preserve">Purchased emission reductions</w:t>
            </w:r>
          </w:p>
        </w:tc>
        <w:tc>
          <w:tcPr>
            <w:vAlign w:val="top"/>
          </w:tcPr>
          <w:p>
            <w:pPr>
              <w:keepLines/>
              <w:jc w:val="right"/>
            </w:pPr>
            <w:r>
              <w:rPr/>
              <w:t xml:space="preserve">0.00</w:t>
            </w:r>
          </w:p>
        </w:tc>
      </w:tr>
      <w:tr>
        <w:tc>
          <w:tcPr>
            <w:vAlign w:val="top"/>
          </w:tcPr>
          <w:p>
            <w:pPr>
              <w:keepLines/>
            </w:pPr>
            <w:r>
              <w:rPr/>
              <w:t xml:space="preserve">Net GHG emissions (all scopes)</w:t>
            </w:r>
          </w:p>
        </w:tc>
        <w:tc>
          <w:tcPr>
            <w:vAlign w:val="top"/>
          </w:tcPr>
          <w:p>
            <w:pPr>
              <w:keepLines/>
              <w:jc w:val="right"/>
            </w:pPr>
            <w:r>
              <w:rPr/>
              <w:t xml:space="preserve">817.95</w:t>
            </w:r>
          </w:p>
        </w:tc>
      </w:tr>
      <w:tr>
        <w:tc>
          <w:tcPr>
            <w:vAlign w:val="top"/>
          </w:tcPr>
          <w:p>
            <w:pPr>
              <w:keepLines/>
            </w:pPr>
            <w:r>
              <w:rPr/>
              <w:t xml:space="preserve"/>
            </w:r>
          </w:p>
        </w:tc>
        <w:tc>
          <w:tcPr>
            <w:vAlign w:val="top"/>
          </w:tcPr>
          <w:p>
            <w:pPr>
              <w:keepLines/>
            </w:pPr>
            <w:r>
              <w:rPr/>
              <w:t xml:space="preserve"/>
            </w:r>
          </w:p>
        </w:tc>
      </w:tr>
      <w:tr>
        <w:tc>
          <w:tcPr>
            <w:vAlign w:val="top"/>
          </w:tcPr>
          <w:p>
            <w:pPr>
              <w:keepLines/>
            </w:pPr>
            <w:r>
              <w:rPr/>
              <w:t xml:space="preserve">Total gross GHG emissions per Emissions per Head of Populations</w:t>
            </w:r>
          </w:p>
        </w:tc>
        <w:tc>
          <w:tcPr>
            <w:vAlign w:val="top"/>
          </w:tcPr>
          <w:p>
            <w:pPr>
              <w:keepLines/>
              <w:jc w:val="right"/>
            </w:pPr>
            <w:r>
              <w:rPr/>
              <w:t xml:space="preserve">0.035</w:t>
            </w:r>
          </w:p>
        </w:tc>
      </w:tr>
      <w:tr>
        <w:tc>
          <w:tcPr>
            <w:vAlign w:val="top"/>
          </w:tcPr>
          <w:p>
            <w:pPr>
              <w:keepLines/>
            </w:pPr>
            <w:r>
              <w:rPr/>
              <w:t xml:space="preserve">Total mandatory GHG emissions per Emissions per Head of Populations</w:t>
            </w:r>
          </w:p>
        </w:tc>
        <w:tc>
          <w:tcPr>
            <w:vAlign w:val="top"/>
          </w:tcPr>
          <w:p>
            <w:pPr>
              <w:keepLines/>
              <w:jc w:val="right"/>
            </w:pPr>
            <w:r>
              <w:rPr/>
              <w:t xml:space="preserve">0.035</w:t>
            </w:r>
          </w:p>
        </w:tc>
      </w:tr>
      <w:tr>
        <w:tc>
          <w:tcPr>
            <w:vAlign w:val="top"/>
          </w:tcPr>
          <w:p>
            <w:pPr>
              <w:keepLines/>
            </w:pPr>
            <w:r>
              <w:rPr/>
              <w:t xml:space="preserve">Total gross GHG emissions per FTE</w:t>
            </w:r>
          </w:p>
        </w:tc>
        <w:tc>
          <w:tcPr>
            <w:vAlign w:val="top"/>
          </w:tcPr>
          <w:p>
            <w:pPr>
              <w:keepLines/>
              <w:jc w:val="right"/>
            </w:pPr>
            <w:r>
              <w:rPr/>
              <w:t xml:space="preserve">8.89</w:t>
            </w:r>
          </w:p>
        </w:tc>
      </w:tr>
      <w:tr>
        <w:tc>
          <w:tcPr>
            <w:vAlign w:val="top"/>
          </w:tcPr>
          <w:p>
            <w:pPr>
              <w:keepLines/>
            </w:pPr>
            <w:r>
              <w:rPr/>
              <w:t xml:space="preserve">Total mandatory GHG emissions per FTE</w:t>
            </w:r>
          </w:p>
        </w:tc>
        <w:tc>
          <w:tcPr>
            <w:vAlign w:val="top"/>
          </w:tcPr>
          <w:p>
            <w:pPr>
              <w:keepLines/>
              <w:jc w:val="right"/>
            </w:pPr>
            <w:r>
              <w:rPr/>
              <w:t xml:space="preserve">8.89</w:t>
            </w:r>
          </w:p>
        </w:tc>
      </w:tr>
      <w:tr>
        <w:tc>
          <w:tcPr>
            <w:vAlign w:val="top"/>
          </w:tcPr>
          <w:p>
            <w:pPr>
              <w:keepLines/>
            </w:pPr>
            <w:r>
              <w:rPr/>
              <w:t xml:space="preserve">Total gross GHG emissions per Turnover/revenue ($Millions)</w:t>
            </w:r>
          </w:p>
        </w:tc>
        <w:tc>
          <w:tcPr>
            <w:vAlign w:val="top"/>
          </w:tcPr>
          <w:p>
            <w:pPr>
              <w:keepLines/>
              <w:jc w:val="right"/>
            </w:pPr>
            <w:r>
              <w:rPr/>
              <w:t xml:space="preserve">20.45</w:t>
            </w:r>
          </w:p>
        </w:tc>
      </w:tr>
      <w:tr>
        <w:tc>
          <w:tcPr>
            <w:vAlign w:val="top"/>
          </w:tcPr>
          <w:p>
            <w:pPr>
              <w:keepLines/>
            </w:pPr>
            <w:r>
              <w:rPr/>
              <w:t xml:space="preserve">Total mandatory GHG emissions per Turnover/revenue ($Millions)</w:t>
            </w:r>
          </w:p>
        </w:tc>
        <w:tc>
          <w:tcPr>
            <w:vAlign w:val="top"/>
          </w:tcPr>
          <w:p>
            <w:pPr>
              <w:keepLines/>
              <w:jc w:val="right"/>
            </w:pPr>
            <w:r>
              <w:rPr/>
              <w:t xml:space="preserve">20.45</w:t>
            </w:r>
          </w:p>
        </w:tc>
      </w:tr>
    </w:tbl>
    <w:p w:rsidRPr="00FA7081" w:rsidR="00A6429F" w:rsidP="004F5370" w:rsidRDefault="00A6429F" w14:paraId="6413CFFD" w14:textId="6EE58FD8">
      <w:pPr>
        <w:jc w:val="center"/>
        <w:rPr>
          <w:i/>
          <w:sz w:val="16"/>
          <w:szCs w:val="16"/>
        </w:rPr>
      </w:pPr>
      <w:r w:rsidRPr="00FA7081">
        <w:rPr>
          <w:i/>
          <w:sz w:val="16"/>
          <w:szCs w:val="16"/>
        </w:rPr>
        <w:t xml:space="preserve">Note: </w:t>
      </w:r>
      <w:proofErr w:type="gramStart"/>
      <w:r w:rsidR="00162561">
        <w:rPr>
          <w:i/>
          <w:sz w:val="16"/>
          <w:szCs w:val="16"/>
        </w:rPr>
        <w:t>t</w:t>
      </w:r>
      <w:r w:rsidRPr="00FA7081">
        <w:rPr>
          <w:i/>
          <w:sz w:val="16"/>
          <w:szCs w:val="16"/>
        </w:rPr>
        <w:t xml:space="preserve">otal mandatory emissions </w:t>
      </w:r>
      <w:r w:rsidR="009A5363">
        <w:rPr>
          <w:i/>
          <w:sz w:val="16"/>
          <w:szCs w:val="16"/>
        </w:rPr>
        <w:t>includes</w:t>
      </w:r>
      <w:proofErr w:type="gramEnd"/>
      <w:r w:rsidR="009A5363">
        <w:rPr>
          <w:i/>
          <w:sz w:val="16"/>
          <w:szCs w:val="16"/>
        </w:rPr>
        <w:t xml:space="preserve"> scope 1, scope 2, and scope 3 (i.e. excludes scope 3 one-time and s</w:t>
      </w:r>
      <w:r w:rsidRPr="00FA7081">
        <w:rPr>
          <w:i/>
          <w:sz w:val="16"/>
          <w:szCs w:val="16"/>
        </w:rPr>
        <w:t>cope 3 additional)</w:t>
      </w:r>
      <w:r w:rsidR="00DC7E53">
        <w:rPr>
          <w:i/>
          <w:sz w:val="16"/>
          <w:szCs w:val="16"/>
        </w:rPr>
        <w:t>.</w:t>
      </w:r>
    </w:p>
    <w:p w:rsidR="007B3403" w:rsidP="0023234C" w:rsidRDefault="007B3403" w14:paraId="27654000" w14:textId="77777777">
      <w:pPr>
        <w:pStyle w:val="Caption"/>
        <w:jc w:val="center"/>
        <w:rPr>
          <w:color w:val="6D6E70" w:themeColor="text2"/>
        </w:rPr>
      </w:pPr>
      <w:bookmarkStart w:name="_Toc300752208" w:id="20"/>
    </w:p>
    <w:p w:rsidR="004A6288" w:rsidP="00D722CA" w:rsidRDefault="00C94F0B" w14:paraId="7547E78E" w14:textId="77777777">
      <w:pPr>
        <w:pStyle w:val="Caption"/>
        <w:keepNext/>
        <w:keepLines/>
        <w:jc w:val="center"/>
        <w:rPr>
          <w:color w:val="6D6E70" w:themeColor="text2"/>
        </w:rPr>
      </w:pPr>
      <w:proofErr w:type="gramStart"/>
      <w:r w:rsidRPr="00F534CB">
        <w:rPr>
          <w:color w:val="6D6E70" w:themeColor="text2"/>
        </w:rPr>
        <w:t xml:space="preserve">Table </w:t>
      </w:r>
      <w:r w:rsidRPr="00F534CB">
        <w:rPr>
          <w:color w:val="6D6E70" w:themeColor="text2"/>
        </w:rPr>
        <w:fldChar w:fldCharType="begin"/>
      </w:r>
      <w:r w:rsidRPr="00F534CB">
        <w:rPr>
          <w:color w:val="6D6E70" w:themeColor="text2"/>
        </w:rPr>
        <w:instrText xml:space="preserve"> SEQ Table \* ARABIC </w:instrText>
      </w:r>
      <w:r w:rsidRPr="00F534CB">
        <w:rPr>
          <w:color w:val="6D6E70" w:themeColor="text2"/>
        </w:rPr>
        <w:fldChar w:fldCharType="separate"/>
      </w:r>
      <w:r w:rsidRPr="00F534CB" w:rsidR="00D929BE">
        <w:rPr>
          <w:noProof/>
          <w:color w:val="6D6E70" w:themeColor="text2"/>
        </w:rPr>
        <w:t>2</w:t>
      </w:r>
      <w:r w:rsidRPr="00F534CB">
        <w:rPr>
          <w:color w:val="6D6E70" w:themeColor="text2"/>
        </w:rPr>
        <w:fldChar w:fldCharType="end"/>
      </w:r>
      <w:r w:rsidRPr="00F534CB" w:rsidR="00DE6672">
        <w:rPr>
          <w:color w:val="6D6E70" w:themeColor="text2"/>
        </w:rPr>
        <w:t>: Gross organisation GHG emissions by scope for current measurement year.</w:t>
      </w:r>
      <w:bookmarkEnd w:id="20"/>
      <w:proofErr w:type="gramEnd"/>
      <w:r w:rsidRPr="00F534CB" w:rsidR="00F534CB">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Indicator</w:t>
            </w:r>
          </w:p>
        </w:tc>
        <w:tc>
          <w:tcPr>
            <w:shd w:themeFill="text2"/>
            <w:vAlign w:val="top"/>
          </w:tcPr>
          <w:p>
            <w:pPr>
              <w:keepLines/>
              <w:keepNext/>
              <w:jc w:val="right"/>
            </w:pPr>
            <w:r>
              <w:rPr>
                <w:b w:val="true"/>
                <w:color w:themeColor="background1"/>
              </w:rPr>
              <w:t xml:space="preserve">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Scope 1</w:t>
            </w:r>
          </w:p>
        </w:tc>
        <w:tc>
          <w:tcPr>
            <w:vAlign w:val="top"/>
          </w:tcPr>
          <w:p>
            <w:pPr>
              <w:keepLines/>
              <w:jc w:val="right"/>
            </w:pPr>
            <w:r>
              <w:rPr/>
              <w:t xml:space="preserve"/>
            </w:r>
          </w:p>
        </w:tc>
      </w:tr>
      <w:tr>
        <w:tc>
          <w:tcPr>
            <w:vAlign w:val="top"/>
          </w:tcPr>
          <w:p>
            <w:pPr>
              <w:keepLines/>
            </w:pPr>
            <w:r>
              <w:rPr/>
              <w:t xml:space="preserve">   Other fuels</w:t>
            </w:r>
          </w:p>
        </w:tc>
        <w:tc>
          <w:tcPr>
            <w:vAlign w:val="top"/>
          </w:tcPr>
          <w:p>
            <w:pPr>
              <w:keepLines/>
              <w:jc w:val="right"/>
            </w:pPr>
            <w:r>
              <w:rPr/>
              <w:t xml:space="preserve">17.30</w:t>
            </w:r>
          </w:p>
        </w:tc>
      </w:tr>
      <w:tr>
        <w:tc>
          <w:tcPr>
            <w:vAlign w:val="top"/>
          </w:tcPr>
          <w:p>
            <w:pPr>
              <w:keepLines/>
            </w:pPr>
            <w:r>
              <w:rPr/>
              <w:t xml:space="preserve">   Transport - other</w:t>
            </w:r>
          </w:p>
        </w:tc>
        <w:tc>
          <w:tcPr>
            <w:vAlign w:val="top"/>
          </w:tcPr>
          <w:p>
            <w:pPr>
              <w:keepLines/>
              <w:jc w:val="right"/>
            </w:pPr>
            <w:r>
              <w:rPr/>
              <w:t xml:space="preserve">79.79</w:t>
            </w:r>
          </w:p>
        </w:tc>
      </w:tr>
      <w:tr>
        <w:tc>
          <w:tcPr>
            <w:vAlign w:val="top"/>
          </w:tcPr>
          <w:p>
            <w:pPr>
              <w:keepLines/>
            </w:pPr>
            <w:r>
              <w:rPr/>
              <w:t xml:space="preserve">   Water &amp; Wastewater</w:t>
            </w:r>
          </w:p>
        </w:tc>
        <w:tc>
          <w:tcPr>
            <w:vAlign w:val="top"/>
          </w:tcPr>
          <w:p>
            <w:pPr>
              <w:keepLines/>
              <w:jc w:val="right"/>
            </w:pPr>
            <w:r>
              <w:rPr/>
              <w:t xml:space="preserve">66.48</w:t>
            </w:r>
          </w:p>
        </w:tc>
      </w:tr>
      <w:tr>
        <w:tc>
          <w:tcPr>
            <w:vAlign w:val="top"/>
          </w:tcPr>
          <w:p>
            <w:pPr>
              <w:keepLines/>
            </w:pPr>
            <w:r>
              <w:rPr/>
              <w:t xml:space="preserve">Scope 2</w:t>
            </w:r>
          </w:p>
        </w:tc>
        <w:tc>
          <w:tcPr>
            <w:vAlign w:val="top"/>
          </w:tcPr>
          <w:p>
            <w:pPr>
              <w:keepLines/>
              <w:jc w:val="right"/>
            </w:pPr>
            <w:r>
              <w:rPr/>
              <w:t xml:space="preserve"/>
            </w:r>
          </w:p>
        </w:tc>
      </w:tr>
      <w:tr>
        <w:tc>
          <w:tcPr>
            <w:vAlign w:val="top"/>
          </w:tcPr>
          <w:p>
            <w:pPr>
              <w:keepLines/>
            </w:pPr>
            <w:r>
              <w:rPr/>
              <w:t xml:space="preserve">   Electricity</w:t>
            </w:r>
          </w:p>
        </w:tc>
        <w:tc>
          <w:tcPr>
            <w:vAlign w:val="top"/>
          </w:tcPr>
          <w:p>
            <w:pPr>
              <w:keepLines/>
              <w:jc w:val="right"/>
            </w:pPr>
            <w:r>
              <w:rPr/>
              <w:t xml:space="preserve">624.00</w:t>
            </w:r>
          </w:p>
        </w:tc>
      </w:tr>
      <w:tr>
        <w:tc>
          <w:tcPr>
            <w:vAlign w:val="top"/>
          </w:tcPr>
          <w:p>
            <w:pPr>
              <w:keepLines/>
            </w:pPr>
            <w:r>
              <w:rPr/>
              <w:t xml:space="preserve">Scope 3</w:t>
            </w:r>
          </w:p>
        </w:tc>
        <w:tc>
          <w:tcPr>
            <w:vAlign w:val="top"/>
          </w:tcPr>
          <w:p>
            <w:pPr>
              <w:keepLines/>
              <w:jc w:val="right"/>
            </w:pPr>
            <w:r>
              <w:rPr/>
              <w:t xml:space="preserve"/>
            </w:r>
          </w:p>
        </w:tc>
      </w:tr>
      <w:tr>
        <w:tc>
          <w:tcPr>
            <w:vAlign w:val="top"/>
          </w:tcPr>
          <w:p>
            <w:pPr>
              <w:keepLines/>
            </w:pPr>
            <w:r>
              <w:rPr/>
              <w:t xml:space="preserve">   Transport - other</w:t>
            </w:r>
          </w:p>
        </w:tc>
        <w:tc>
          <w:tcPr>
            <w:vAlign w:val="top"/>
          </w:tcPr>
          <w:p>
            <w:pPr>
              <w:keepLines/>
              <w:jc w:val="right"/>
            </w:pPr>
            <w:r>
              <w:rPr/>
              <w:t xml:space="preserve">15.02</w:t>
            </w:r>
          </w:p>
        </w:tc>
      </w:tr>
      <w:tr>
        <w:tc>
          <w:tcPr>
            <w:vAlign w:val="top"/>
          </w:tcPr>
          <w:p>
            <w:pPr>
              <w:keepLines/>
            </w:pPr>
            <w:r>
              <w:rPr/>
              <w:t xml:space="preserve">   Waste</w:t>
            </w:r>
          </w:p>
        </w:tc>
        <w:tc>
          <w:tcPr>
            <w:vAlign w:val="top"/>
          </w:tcPr>
          <w:p>
            <w:pPr>
              <w:keepLines/>
              <w:jc w:val="right"/>
            </w:pPr>
            <w:r>
              <w:rPr/>
              <w:t xml:space="preserve">15.36</w:t>
            </w:r>
          </w:p>
        </w:tc>
      </w:tr>
      <w:tr>
        <w:tc>
          <w:tcPr>
            <w:vAlign w:val="top"/>
          </w:tcPr>
          <w:p>
            <w:pPr>
              <w:keepLines/>
            </w:pPr>
            <w:r>
              <w:rPr/>
              <w:t xml:space="preserve">Total</w:t>
            </w:r>
          </w:p>
        </w:tc>
        <w:tc>
          <w:tcPr>
            <w:vAlign w:val="top"/>
          </w:tcPr>
          <w:p>
            <w:pPr>
              <w:keepLines/>
              <w:jc w:val="right"/>
            </w:pPr>
            <w:r>
              <w:rPr/>
              <w:t xml:space="preserve">817.95</w:t>
            </w:r>
          </w:p>
        </w:tc>
      </w:tr>
    </w:tbl>
    <w:p w:rsidRPr="0002008A" w:rsidR="0002008A" w:rsidP="0002008A" w:rsidRDefault="0002008A" w14:paraId="095540C6" w14:textId="77777777">
      <w:pPr>
        <w:jc w:val="center"/>
      </w:pPr>
    </w:p>
    <w:p w:rsidR="004A6288" w:rsidP="002A549E" w:rsidRDefault="00C94F0B" w14:paraId="0F9E72ED" w14:textId="78CF658B">
      <w:pPr>
        <w:pStyle w:val="Caption"/>
        <w:jc w:val="center"/>
        <w:rPr>
          <w:color w:val="6D6E70" w:themeColor="text2"/>
        </w:rPr>
      </w:pPr>
      <w:bookmarkStart w:name="_Toc300752209" w:id="21"/>
      <w:r w:rsidRPr="0002008A">
        <w:rPr>
          <w:color w:val="6D6E70" w:themeColor="text2"/>
        </w:rPr>
        <w:t xml:space="preserve">Table </w:t>
      </w:r>
      <w:r w:rsidRPr="0002008A">
        <w:rPr>
          <w:color w:val="6D6E70" w:themeColor="text2"/>
        </w:rPr>
        <w:fldChar w:fldCharType="begin"/>
      </w:r>
      <w:r w:rsidRPr="0002008A">
        <w:rPr>
          <w:color w:val="6D6E70" w:themeColor="text2"/>
        </w:rPr>
        <w:instrText xml:space="preserve"> SEQ Table \* ARABIC </w:instrText>
      </w:r>
      <w:r w:rsidRPr="0002008A">
        <w:rPr>
          <w:color w:val="6D6E70" w:themeColor="text2"/>
        </w:rPr>
        <w:fldChar w:fldCharType="separate"/>
      </w:r>
      <w:r w:rsidRPr="0002008A" w:rsidR="00D929BE">
        <w:rPr>
          <w:noProof/>
          <w:color w:val="6D6E70" w:themeColor="text2"/>
        </w:rPr>
        <w:t>3</w:t>
      </w:r>
      <w:r w:rsidRPr="0002008A">
        <w:rPr>
          <w:color w:val="6D6E70" w:themeColor="text2"/>
        </w:rPr>
        <w:fldChar w:fldCharType="end"/>
      </w:r>
      <w:r w:rsidRPr="0002008A" w:rsidR="00DE6672">
        <w:rPr>
          <w:color w:val="6D6E70" w:themeColor="text2"/>
        </w:rPr>
        <w:t>: GHG emissions inventory su</w:t>
      </w:r>
      <w:r w:rsidR="00263C7A">
        <w:rPr>
          <w:color w:val="6D6E70" w:themeColor="text2"/>
        </w:rPr>
        <w:t>mmary by scope and greenhouse gas</w:t>
      </w:r>
      <w:r w:rsidRPr="0002008A" w:rsidR="00DE6672">
        <w:rPr>
          <w:color w:val="6D6E70" w:themeColor="text2"/>
        </w:rPr>
        <w:t>.</w:t>
      </w:r>
      <w:bookmarkEnd w:id="21"/>
      <w:r w:rsidRPr="0002008A" w:rsidR="0002008A">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Component gas</w:t>
            </w:r>
          </w:p>
        </w:tc>
        <w:tc>
          <w:tcPr>
            <w:shd w:themeFill="text2"/>
            <w:vAlign w:val="top"/>
          </w:tcPr>
          <w:p>
            <w:pPr>
              <w:keepLines/>
              <w:keepNext/>
              <w:jc w:val="right"/>
            </w:pPr>
            <w:r>
              <w:rPr>
                <w:b w:val="true"/>
                <w:color w:themeColor="background1"/>
              </w:rPr>
              <w:t xml:space="preserve">Scope 1</w:t>
            </w:r>
          </w:p>
        </w:tc>
        <w:tc>
          <w:tcPr>
            <w:shd w:themeFill="text2"/>
            <w:vAlign w:val="top"/>
          </w:tcPr>
          <w:p>
            <w:pPr>
              <w:keepLines/>
              <w:keepNext/>
              <w:jc w:val="right"/>
            </w:pPr>
            <w:r>
              <w:rPr>
                <w:b w:val="true"/>
                <w:color w:themeColor="background1"/>
              </w:rPr>
              <w:t xml:space="preserve">Scope 2</w:t>
            </w:r>
          </w:p>
        </w:tc>
        <w:tc>
          <w:tcPr>
            <w:shd w:themeFill="text2"/>
            <w:vAlign w:val="top"/>
          </w:tcPr>
          <w:p>
            <w:pPr>
              <w:keepLines/>
              <w:keepNext/>
              <w:jc w:val="right"/>
            </w:pPr>
            <w:r>
              <w:rPr>
                <w:b w:val="true"/>
                <w:color w:themeColor="background1"/>
              </w:rPr>
              <w:t xml:space="preserve">Scope 3</w:t>
            </w:r>
          </w:p>
        </w:tc>
        <w:tc>
          <w:tcPr>
            <w:shd w:themeFill="text2"/>
            <w:vAlign w:val="top"/>
          </w:tcPr>
          <w:p>
            <w:pPr>
              <w:keepLines/>
              <w:keepNext/>
              <w:jc w:val="right"/>
            </w:pPr>
            <w:r>
              <w:rPr>
                <w:b w:val="true"/>
                <w:color w:themeColor="background1"/>
              </w:rPr>
              <w:t xml:space="preserve">Total</w:t>
            </w:r>
          </w:p>
        </w:tc>
        <w:tc>
          <w:tcPr>
            <w:shd w:themeFill="text2"/>
            <w:vAlign w:val="top"/>
          </w:tcPr>
          <w:p>
            <w:pPr>
              <w:keepLines/>
              <w:keepNext/>
              <w:jc w:val="right"/>
            </w:pPr>
            <w:r>
              <w:rPr>
                <w:b w:val="true"/>
                <w:color w:themeColor="background1"/>
              </w:rPr>
              <w:t xml:space="preserve">Removals</w:t>
            </w:r>
          </w:p>
        </w:tc>
        <w:tc>
          <w:tcPr>
            <w:shd w:themeFill="text2"/>
            <w:vAlign w:val="top"/>
          </w:tcPr>
          <w:p>
            <w:pPr>
              <w:keepLines/>
              <w:keepNext/>
              <w:jc w:val="right"/>
            </w:pPr>
            <w:r>
              <w:rPr>
                <w:b w:val="true"/>
                <w:color w:themeColor="background1"/>
              </w:rPr>
              <w:t xml:space="preserve">After removals</w:t>
            </w:r>
          </w:p>
        </w:tc>
      </w:tr>
      <w:tr>
        <w:tc>
          <w:tcPr>
            <w:vAlign w:val="top"/>
          </w:tcPr>
          <w:p>
            <w:pPr>
              <w:keepLines/>
            </w:pPr>
            <w:r>
              <w:rPr/>
              <w:t xml:space="preserve"/>
            </w:r>
            <w:r>
              <w:rPr/>
              <w:rPr>
                <w:vertAlign w:val="baseline"/>
              </w:rPr>
              <w:t xml:space="preserve">CH</w:t>
            </w:r>
            <w:r>
              <w:rPr/>
              <w:rPr>
                <w:vertAlign w:val="subscript"/>
              </w:rPr>
              <w:t xml:space="preserve">4</w:t>
            </w:r>
            <w:r>
              <w:rPr/>
              <w:t xml:space="preserve"/>
            </w:r>
          </w:p>
        </w:tc>
        <w:tc>
          <w:tcPr>
            <w:vAlign w:val="top"/>
          </w:tcPr>
          <w:p>
            <w:pPr>
              <w:keepLines/>
              <w:jc w:val="right"/>
            </w:pPr>
            <w:r>
              <w:rPr/>
              <w:t xml:space="preserve">0.84</w:t>
            </w:r>
          </w:p>
        </w:tc>
        <w:tc>
          <w:tcPr>
            <w:vAlign w:val="top"/>
          </w:tcPr>
          <w:p>
            <w:pPr>
              <w:keepLines/>
              <w:jc w:val="right"/>
            </w:pPr>
            <w:r>
              <w:rPr/>
              <w:t xml:space="preserve">0.00</w:t>
            </w:r>
          </w:p>
        </w:tc>
        <w:tc>
          <w:tcPr>
            <w:vAlign w:val="top"/>
          </w:tcPr>
          <w:p>
            <w:pPr>
              <w:keepLines/>
              <w:jc w:val="right"/>
            </w:pPr>
            <w:r>
              <w:rPr/>
              <w:t xml:space="preserve">15.48</w:t>
            </w:r>
          </w:p>
        </w:tc>
        <w:tc>
          <w:tcPr>
            <w:vAlign w:val="top"/>
          </w:tcPr>
          <w:p>
            <w:pPr>
              <w:keepLines/>
              <w:jc w:val="right"/>
            </w:pPr>
            <w:r>
              <w:rPr/>
              <w:t xml:space="preserve">16.32</w:t>
            </w:r>
          </w:p>
        </w:tc>
        <w:tc>
          <w:tcPr>
            <w:vAlign w:val="top"/>
          </w:tcPr>
          <w:p>
            <w:pPr>
              <w:keepLines/>
              <w:jc w:val="right"/>
            </w:pPr>
            <w:r>
              <w:rPr/>
              <w:t xml:space="preserve">0.00</w:t>
            </w:r>
          </w:p>
        </w:tc>
        <w:tc>
          <w:tcPr>
            <w:vAlign w:val="top"/>
          </w:tcPr>
          <w:p>
            <w:pPr>
              <w:keepLines/>
              <w:jc w:val="right"/>
            </w:pPr>
            <w:r>
              <w:rPr/>
              <w:t xml:space="preserve">16.32</w:t>
            </w:r>
          </w:p>
        </w:tc>
      </w:tr>
      <w:tr>
        <w:tc>
          <w:tcPr>
            <w:vAlign w:val="top"/>
          </w:tcPr>
          <w:p>
            <w:pPr>
              <w:keepLines/>
            </w:pPr>
            <w:r>
              <w:rPr/>
              <w:t xml:space="preserve"/>
            </w:r>
            <w:r>
              <w:rPr/>
              <w:rPr>
                <w:vertAlign w:val="baseline"/>
              </w:rPr>
              <w:t xml:space="preserve">CO</w:t>
            </w:r>
            <w:r>
              <w:rPr/>
              <w:rPr>
                <w:vertAlign w:val="subscript"/>
              </w:rPr>
              <w:t xml:space="preserve">2</w:t>
            </w:r>
            <w:r>
              <w:rPr/>
              <w:t xml:space="preserve"/>
            </w:r>
          </w:p>
        </w:tc>
        <w:tc>
          <w:tcPr>
            <w:vAlign w:val="top"/>
          </w:tcPr>
          <w:p>
            <w:pPr>
              <w:keepLines/>
              <w:jc w:val="right"/>
            </w:pPr>
            <w:r>
              <w:rPr/>
              <w:t xml:space="preserve">160.13</w:t>
            </w:r>
          </w:p>
        </w:tc>
        <w:tc>
          <w:tcPr>
            <w:vAlign w:val="top"/>
          </w:tcPr>
          <w:p>
            <w:pPr>
              <w:keepLines/>
              <w:jc w:val="right"/>
            </w:pPr>
            <w:r>
              <w:rPr/>
              <w:t xml:space="preserve">624.00</w:t>
            </w:r>
          </w:p>
        </w:tc>
        <w:tc>
          <w:tcPr>
            <w:vAlign w:val="top"/>
          </w:tcPr>
          <w:p>
            <w:pPr>
              <w:keepLines/>
              <w:jc w:val="right"/>
            </w:pPr>
            <w:r>
              <w:rPr/>
              <w:t xml:space="preserve">14.49</w:t>
            </w:r>
          </w:p>
        </w:tc>
        <w:tc>
          <w:tcPr>
            <w:vAlign w:val="top"/>
          </w:tcPr>
          <w:p>
            <w:pPr>
              <w:keepLines/>
              <w:jc w:val="right"/>
            </w:pPr>
            <w:r>
              <w:rPr/>
              <w:t xml:space="preserve">798.61</w:t>
            </w:r>
          </w:p>
        </w:tc>
        <w:tc>
          <w:tcPr>
            <w:vAlign w:val="top"/>
          </w:tcPr>
          <w:p>
            <w:pPr>
              <w:keepLines/>
              <w:jc w:val="right"/>
            </w:pPr>
            <w:r>
              <w:rPr/>
              <w:t xml:space="preserve">0.00</w:t>
            </w:r>
          </w:p>
        </w:tc>
        <w:tc>
          <w:tcPr>
            <w:vAlign w:val="top"/>
          </w:tcPr>
          <w:p>
            <w:pPr>
              <w:keepLines/>
              <w:jc w:val="right"/>
            </w:pPr>
            <w:r>
              <w:rPr/>
              <w:t xml:space="preserve">798.61</w:t>
            </w:r>
          </w:p>
        </w:tc>
      </w:tr>
      <w:tr>
        <w:tc>
          <w:tcPr>
            <w:vAlign w:val="top"/>
          </w:tcPr>
          <w:p>
            <w:pPr>
              <w:keepLines/>
            </w:pPr>
            <w:r>
              <w:rPr/>
              <w:t xml:space="preserve">HFCs</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r>
      <w:tr>
        <w:tc>
          <w:tcPr>
            <w:vAlign w:val="top"/>
          </w:tcPr>
          <w:p>
            <w:pPr>
              <w:keepLines/>
            </w:pPr>
            <w:r>
              <w:rPr/>
              <w:t xml:space="preserve"/>
            </w:r>
            <w:r>
              <w:rPr/>
              <w:rPr>
                <w:vertAlign w:val="baseline"/>
              </w:rPr>
              <w:t xml:space="preserve">N</w:t>
            </w:r>
            <w:r>
              <w:rPr/>
              <w:rPr>
                <w:vertAlign w:val="subscript"/>
              </w:rPr>
              <w:t xml:space="preserve">2</w:t>
            </w:r>
            <w:r>
              <w:rPr/>
              <w:rPr>
                <w:vertAlign w:val="baseline"/>
              </w:rPr>
              <w:t xml:space="preserve">O</w:t>
            </w:r>
            <w:r>
              <w:rPr/>
              <w:t xml:space="preserve"/>
            </w:r>
          </w:p>
        </w:tc>
        <w:tc>
          <w:tcPr>
            <w:vAlign w:val="top"/>
          </w:tcPr>
          <w:p>
            <w:pPr>
              <w:keepLines/>
              <w:jc w:val="right"/>
            </w:pPr>
            <w:r>
              <w:rPr/>
              <w:t xml:space="preserve">2.61</w:t>
            </w:r>
          </w:p>
        </w:tc>
        <w:tc>
          <w:tcPr>
            <w:vAlign w:val="top"/>
          </w:tcPr>
          <w:p>
            <w:pPr>
              <w:keepLines/>
              <w:jc w:val="right"/>
            </w:pPr>
            <w:r>
              <w:rPr/>
              <w:t xml:space="preserve">0.00</w:t>
            </w:r>
          </w:p>
        </w:tc>
        <w:tc>
          <w:tcPr>
            <w:vAlign w:val="top"/>
          </w:tcPr>
          <w:p>
            <w:pPr>
              <w:keepLines/>
              <w:jc w:val="right"/>
            </w:pPr>
            <w:r>
              <w:rPr/>
              <w:t xml:space="preserve">0.41</w:t>
            </w:r>
          </w:p>
        </w:tc>
        <w:tc>
          <w:tcPr>
            <w:vAlign w:val="top"/>
          </w:tcPr>
          <w:p>
            <w:pPr>
              <w:keepLines/>
              <w:jc w:val="right"/>
            </w:pPr>
            <w:r>
              <w:rPr/>
              <w:t xml:space="preserve">3.02</w:t>
            </w:r>
          </w:p>
        </w:tc>
        <w:tc>
          <w:tcPr>
            <w:vAlign w:val="top"/>
          </w:tcPr>
          <w:p>
            <w:pPr>
              <w:keepLines/>
              <w:jc w:val="right"/>
            </w:pPr>
            <w:r>
              <w:rPr/>
              <w:t xml:space="preserve">0.00</w:t>
            </w:r>
          </w:p>
        </w:tc>
        <w:tc>
          <w:tcPr>
            <w:vAlign w:val="top"/>
          </w:tcPr>
          <w:p>
            <w:pPr>
              <w:keepLines/>
              <w:jc w:val="right"/>
            </w:pPr>
            <w:r>
              <w:rPr/>
              <w:t xml:space="preserve">3.02</w:t>
            </w:r>
          </w:p>
        </w:tc>
      </w:tr>
      <w:tr>
        <w:tc>
          <w:tcPr>
            <w:vAlign w:val="top"/>
          </w:tcPr>
          <w:p>
            <w:pPr>
              <w:keepLines/>
            </w:pPr>
            <w:r>
              <w:rPr/>
              <w:t xml:space="preserve">PFCs</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r>
      <w:tr>
        <w:tc>
          <w:tcPr>
            <w:vAlign w:val="top"/>
          </w:tcPr>
          <w:p>
            <w:pPr>
              <w:keepLines/>
            </w:pPr>
            <w:r>
              <w:rPr/>
              <w:t xml:space="preserve"/>
            </w:r>
            <w:r>
              <w:rPr/>
              <w:rPr>
                <w:vertAlign w:val="baseline"/>
              </w:rPr>
              <w:t xml:space="preserve">SF</w:t>
            </w:r>
            <w:r>
              <w:rPr/>
              <w:rPr>
                <w:vertAlign w:val="subscript"/>
              </w:rPr>
              <w:t xml:space="preserve">6</w:t>
            </w:r>
            <w:r>
              <w:rPr/>
              <w:t xml:space="preserve"/>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c>
          <w:tcPr>
            <w:vAlign w:val="top"/>
          </w:tcPr>
          <w:p>
            <w:pPr>
              <w:keepLines/>
              <w:jc w:val="right"/>
            </w:pPr>
            <w:r>
              <w:rPr/>
              <w:t xml:space="preserve">0.00</w:t>
            </w:r>
          </w:p>
        </w:tc>
      </w:tr>
      <w:tr>
        <w:tc>
          <w:tcPr>
            <w:vAlign w:val="top"/>
          </w:tcPr>
          <w:p>
            <w:pPr>
              <w:keepLines/>
            </w:pPr>
            <w:r>
              <w:rPr/>
              <w:t xml:space="preserve">Total</w:t>
            </w:r>
          </w:p>
        </w:tc>
        <w:tc>
          <w:tcPr>
            <w:vAlign w:val="top"/>
          </w:tcPr>
          <w:p>
            <w:pPr>
              <w:keepLines/>
              <w:jc w:val="right"/>
            </w:pPr>
            <w:r>
              <w:rPr/>
              <w:t xml:space="preserve">163.57</w:t>
            </w:r>
          </w:p>
        </w:tc>
        <w:tc>
          <w:tcPr>
            <w:vAlign w:val="top"/>
          </w:tcPr>
          <w:p>
            <w:pPr>
              <w:keepLines/>
              <w:jc w:val="right"/>
            </w:pPr>
            <w:r>
              <w:rPr/>
              <w:t xml:space="preserve">624.00</w:t>
            </w:r>
          </w:p>
        </w:tc>
        <w:tc>
          <w:tcPr>
            <w:vAlign w:val="top"/>
          </w:tcPr>
          <w:p>
            <w:pPr>
              <w:keepLines/>
              <w:jc w:val="right"/>
            </w:pPr>
            <w:r>
              <w:rPr/>
              <w:t xml:space="preserve">30.38</w:t>
            </w:r>
          </w:p>
        </w:tc>
        <w:tc>
          <w:tcPr>
            <w:vAlign w:val="top"/>
          </w:tcPr>
          <w:p>
            <w:pPr>
              <w:keepLines/>
              <w:jc w:val="right"/>
            </w:pPr>
            <w:r>
              <w:rPr/>
              <w:t xml:space="preserve">817.95</w:t>
            </w:r>
          </w:p>
        </w:tc>
        <w:tc>
          <w:tcPr>
            <w:vAlign w:val="top"/>
          </w:tcPr>
          <w:p>
            <w:pPr>
              <w:keepLines/>
              <w:jc w:val="right"/>
            </w:pPr>
            <w:r>
              <w:rPr/>
              <w:t xml:space="preserve">0.00</w:t>
            </w:r>
          </w:p>
        </w:tc>
        <w:tc>
          <w:tcPr>
            <w:vAlign w:val="top"/>
          </w:tcPr>
          <w:p>
            <w:pPr>
              <w:keepLines/>
              <w:jc w:val="right"/>
            </w:pPr>
            <w:r>
              <w:rPr/>
              <w:t xml:space="preserve">817.95</w:t>
            </w:r>
          </w:p>
        </w:tc>
      </w:tr>
    </w:tbl>
    <w:p w:rsidRPr="002A549E" w:rsidR="002A549E" w:rsidP="002A549E" w:rsidRDefault="002A549E" w14:paraId="5A339AB6" w14:textId="77777777">
      <w:pPr>
        <w:jc w:val="center"/>
      </w:pPr>
    </w:p>
    <w:p w:rsidR="004A6288" w:rsidP="00D722CA" w:rsidRDefault="00C94F0B" w14:paraId="6FC6F18C" w14:textId="77777777">
      <w:pPr>
        <w:pStyle w:val="Caption"/>
        <w:keepNext/>
        <w:keepLines/>
        <w:jc w:val="center"/>
        <w:rPr>
          <w:color w:val="6D6E70" w:themeColor="text2"/>
        </w:rPr>
      </w:pPr>
      <w:bookmarkStart w:name="_Toc300752210" w:id="22"/>
      <w:proofErr w:type="gramStart"/>
      <w:r w:rsidRPr="002A549E">
        <w:rPr>
          <w:color w:val="6D6E70" w:themeColor="text2"/>
        </w:rPr>
        <w:t xml:space="preserve">Table </w:t>
      </w:r>
      <w:r w:rsidRPr="002A549E">
        <w:rPr>
          <w:color w:val="6D6E70" w:themeColor="text2"/>
        </w:rPr>
        <w:fldChar w:fldCharType="begin"/>
      </w:r>
      <w:r w:rsidRPr="002A549E">
        <w:rPr>
          <w:color w:val="6D6E70" w:themeColor="text2"/>
        </w:rPr>
        <w:instrText xml:space="preserve"> SEQ Table \* ARABIC </w:instrText>
      </w:r>
      <w:r w:rsidRPr="002A549E">
        <w:rPr>
          <w:color w:val="6D6E70" w:themeColor="text2"/>
        </w:rPr>
        <w:fldChar w:fldCharType="separate"/>
      </w:r>
      <w:r w:rsidRPr="002A549E" w:rsidR="00D929BE">
        <w:rPr>
          <w:noProof/>
          <w:color w:val="6D6E70" w:themeColor="text2"/>
        </w:rPr>
        <w:t>4</w:t>
      </w:r>
      <w:r w:rsidRPr="002A549E">
        <w:rPr>
          <w:color w:val="6D6E70" w:themeColor="text2"/>
        </w:rPr>
        <w:fldChar w:fldCharType="end"/>
      </w:r>
      <w:r w:rsidRPr="002A549E" w:rsidR="00DE6672">
        <w:rPr>
          <w:color w:val="6D6E70" w:themeColor="text2"/>
        </w:rPr>
        <w:t>: Mobile and stationary combustion of biomass.</w:t>
      </w:r>
      <w:bookmarkEnd w:id="22"/>
      <w:proofErr w:type="gramEnd"/>
      <w:r w:rsidRPr="002A549E" w:rsidR="002A549E">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Biomass</w:t>
            </w:r>
          </w:p>
        </w:tc>
        <w:tc>
          <w:tcPr>
            <w:shd w:themeFill="text2"/>
            <w:vAlign w:val="top"/>
          </w:tcPr>
          <w:p>
            <w:pPr>
              <w:keepLines/>
              <w:keepNext/>
              <w:jc w:val="right"/>
            </w:pPr>
            <w:r>
              <w:rPr>
                <w:b w:val="true"/>
                <w:color w:themeColor="background1"/>
              </w:rPr>
              <w:t xml:space="preserve">Quantity</w:t>
            </w:r>
          </w:p>
        </w:tc>
        <w:tc>
          <w:tcPr>
            <w:shd w:themeFill="text2"/>
            <w:vAlign w:val="top"/>
          </w:tcPr>
          <w:p>
            <w:pPr>
              <w:keepLines/>
              <w:keepNext/>
              <w:jc w:val="right"/>
            </w:pPr>
            <w:r>
              <w:rPr>
                <w:b w:val="true"/>
                <w:color w:themeColor="background1"/>
              </w:rPr>
              <w:t xml:space="preserve">Tonnes Biogenic </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
            </w:r>
          </w:p>
        </w:tc>
      </w:tr>
      <w:tr>
        <w:tc>
          <w:tcPr>
            <w:vAlign w:val="top"/>
          </w:tcPr>
          <w:p>
            <w:pPr>
              <w:keepLines/>
            </w:pPr>
            <w:r>
              <w:rPr/>
              <w:t xml:space="preserve">No activity recorded</w:t>
            </w:r>
          </w:p>
        </w:tc>
        <w:tc>
          <w:tcPr>
            <w:vAlign w:val="top"/>
          </w:tcPr>
          <w:p>
            <w:pPr>
              <w:keepLines/>
            </w:pPr>
            <w:r>
              <w:rPr/>
              <w:t xml:space="preserve">n/a</w:t>
            </w:r>
          </w:p>
        </w:tc>
        <w:tc>
          <w:tcPr>
            <w:vAlign w:val="top"/>
          </w:tcPr>
          <w:p>
            <w:pPr>
              <w:keepLines/>
            </w:pPr>
            <w:r>
              <w:rPr/>
              <w:t xml:space="preserve">n/a</w:t>
            </w:r>
          </w:p>
        </w:tc>
      </w:tr>
    </w:tbl>
    <w:p w:rsidRPr="00DE6672" w:rsidR="00DE6672" w:rsidP="002A549E" w:rsidRDefault="00DE6672" w14:paraId="0F4C3600" w14:textId="77777777">
      <w:pPr>
        <w:pStyle w:val="BodyText"/>
        <w:jc w:val="center"/>
      </w:pPr>
    </w:p>
    <w:p w:rsidR="004A6288" w:rsidP="00D722CA" w:rsidRDefault="00C94F0B" w14:paraId="6F5A3291" w14:textId="77777777">
      <w:pPr>
        <w:pStyle w:val="Caption"/>
        <w:keepNext/>
        <w:keepLines/>
        <w:jc w:val="center"/>
        <w:rPr>
          <w:color w:val="6D6E70" w:themeColor="text2"/>
        </w:rPr>
      </w:pPr>
      <w:bookmarkStart w:name="_Toc300752211" w:id="23"/>
      <w:proofErr w:type="gramStart"/>
      <w:r w:rsidRPr="00ED3DEC">
        <w:rPr>
          <w:color w:val="6D6E70" w:themeColor="text2"/>
        </w:rPr>
        <w:t xml:space="preserve">Table </w:t>
      </w:r>
      <w:r w:rsidRPr="00ED3DEC">
        <w:rPr>
          <w:color w:val="6D6E70" w:themeColor="text2"/>
        </w:rPr>
        <w:fldChar w:fldCharType="begin"/>
      </w:r>
      <w:r w:rsidRPr="00ED3DEC">
        <w:rPr>
          <w:color w:val="6D6E70" w:themeColor="text2"/>
        </w:rPr>
        <w:instrText xml:space="preserve"> SEQ Table \* ARABIC </w:instrText>
      </w:r>
      <w:r w:rsidRPr="00ED3DEC">
        <w:rPr>
          <w:color w:val="6D6E70" w:themeColor="text2"/>
        </w:rPr>
        <w:fldChar w:fldCharType="separate"/>
      </w:r>
      <w:r w:rsidRPr="00ED3DEC" w:rsidR="00D929BE">
        <w:rPr>
          <w:noProof/>
          <w:color w:val="6D6E70" w:themeColor="text2"/>
        </w:rPr>
        <w:t>5</w:t>
      </w:r>
      <w:r w:rsidRPr="00ED3DEC">
        <w:rPr>
          <w:color w:val="6D6E70" w:themeColor="text2"/>
        </w:rPr>
        <w:fldChar w:fldCharType="end"/>
      </w:r>
      <w:r w:rsidRPr="00ED3DEC" w:rsidR="00DE6672">
        <w:rPr>
          <w:color w:val="6D6E70" w:themeColor="text2"/>
        </w:rPr>
        <w:t>: Deforestation of two hectares or more.</w:t>
      </w:r>
      <w:bookmarkEnd w:id="23"/>
      <w:proofErr w:type="gramEnd"/>
      <w:r w:rsidRPr="00ED3DEC" w:rsidR="00ED3DEC">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Source</w:t>
            </w:r>
          </w:p>
        </w:tc>
        <w:tc>
          <w:tcPr>
            <w:shd w:themeFill="text2"/>
            <w:vAlign w:val="top"/>
          </w:tcPr>
          <w:p>
            <w:pPr>
              <w:keepLines/>
              <w:keepNext/>
              <w:jc w:val="right"/>
            </w:pPr>
            <w:r>
              <w:rPr>
                <w:b w:val="true"/>
                <w:color w:themeColor="background1"/>
              </w:rPr>
              <w:t xml:space="preserve">Mass</w:t>
            </w:r>
          </w:p>
        </w:tc>
        <w:tc>
          <w:tcPr>
            <w:shd w:themeFill="text2"/>
            <w:vAlign w:val="top"/>
          </w:tcPr>
          <w:p>
            <w:pPr>
              <w:keepLines/>
              <w:keepNext/>
              <w:jc w:val="right"/>
            </w:pPr>
            <w:r>
              <w:rPr>
                <w:b w:val="true"/>
                <w:color w:themeColor="background1"/>
              </w:rPr>
              <w:t xml:space="preserve">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Deforestation t</w:t>
            </w:r>
            <w:r>
              <w:rPr/>
              <w:rPr>
                <w:vertAlign w:val="baseline"/>
              </w:rPr>
              <w:t xml:space="preserve">CO</w:t>
            </w:r>
            <w:r>
              <w:rPr/>
              <w:rPr>
                <w:vertAlign w:val="subscript"/>
              </w:rPr>
              <w:t xml:space="preserve">2</w:t>
            </w:r>
            <w:r>
              <w:rPr/>
              <w:t xml:space="preserve">e (t</w:t>
            </w:r>
            <w:r>
              <w:rPr/>
              <w:rPr>
                <w:vertAlign w:val="baseline"/>
              </w:rPr>
              <w:t xml:space="preserve">CO</w:t>
            </w:r>
            <w:r>
              <w:rPr/>
              <w:rPr>
                <w:vertAlign w:val="subscript"/>
              </w:rPr>
              <w:t xml:space="preserve">2</w:t>
            </w:r>
            <w:r>
              <w:rPr/>
              <w:t xml:space="preserve">e)</w:t>
            </w:r>
          </w:p>
        </w:tc>
        <w:tc>
          <w:tcPr>
            <w:vAlign w:val="top"/>
          </w:tcPr>
          <w:p>
            <w:pPr>
              <w:keepLines/>
              <w:jc w:val="right"/>
            </w:pPr>
            <w:r>
              <w:rPr/>
              <w:t xml:space="preserve">0.00</w:t>
            </w:r>
          </w:p>
        </w:tc>
        <w:tc>
          <w:tcPr>
            <w:vAlign w:val="top"/>
          </w:tcPr>
          <w:p>
            <w:pPr>
              <w:keepLines/>
              <w:jc w:val="right"/>
            </w:pPr>
            <w:r>
              <w:rPr/>
              <w:t xml:space="preserve">0.00</w:t>
            </w:r>
          </w:p>
        </w:tc>
      </w:tr>
    </w:tbl>
    <w:p w:rsidRPr="00DE6672" w:rsidR="00DE6672" w:rsidP="00ED3DEC" w:rsidRDefault="00DE6672" w14:paraId="1F3BE7E7" w14:textId="77777777">
      <w:pPr>
        <w:pStyle w:val="BodyText"/>
        <w:jc w:val="center"/>
      </w:pPr>
    </w:p>
    <w:p w:rsidR="004A6288" w:rsidP="0023234C" w:rsidRDefault="00C94F0B" w14:paraId="6DCDA3F8" w14:textId="77777777">
      <w:pPr>
        <w:pStyle w:val="Caption"/>
        <w:jc w:val="center"/>
        <w:rPr>
          <w:color w:val="6D6E70" w:themeColor="text2"/>
        </w:rPr>
      </w:pPr>
      <w:bookmarkStart w:name="_Toc300752212" w:id="24"/>
      <w:r w:rsidRPr="00ED3DEC">
        <w:rPr>
          <w:color w:val="6D6E70" w:themeColor="text2"/>
        </w:rPr>
        <w:t xml:space="preserve">Table </w:t>
      </w:r>
      <w:r w:rsidRPr="00ED3DEC">
        <w:rPr>
          <w:color w:val="6D6E70" w:themeColor="text2"/>
        </w:rPr>
        <w:fldChar w:fldCharType="begin"/>
      </w:r>
      <w:r w:rsidRPr="00ED3DEC">
        <w:rPr>
          <w:color w:val="6D6E70" w:themeColor="text2"/>
        </w:rPr>
        <w:instrText xml:space="preserve"> SEQ Table \* ARABIC </w:instrText>
      </w:r>
      <w:r w:rsidRPr="00ED3DEC">
        <w:rPr>
          <w:color w:val="6D6E70" w:themeColor="text2"/>
        </w:rPr>
        <w:fldChar w:fldCharType="separate"/>
      </w:r>
      <w:r w:rsidRPr="00ED3DEC" w:rsidR="00D929BE">
        <w:rPr>
          <w:noProof/>
          <w:color w:val="6D6E70" w:themeColor="text2"/>
        </w:rPr>
        <w:t>6</w:t>
      </w:r>
      <w:r w:rsidRPr="00ED3DEC">
        <w:rPr>
          <w:color w:val="6D6E70" w:themeColor="text2"/>
        </w:rPr>
        <w:fldChar w:fldCharType="end"/>
      </w:r>
      <w:r w:rsidRPr="00ED3DEC" w:rsidR="00DE6672">
        <w:rPr>
          <w:color w:val="6D6E70" w:themeColor="text2"/>
        </w:rPr>
        <w:t>: GHG stock liability (see Table 13: for mass of individual gases).</w:t>
      </w:r>
      <w:bookmarkEnd w:id="24"/>
      <w:r w:rsidRPr="00ED3DEC" w:rsidR="00ED3DEC">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GHG gas</w:t>
            </w:r>
          </w:p>
        </w:tc>
        <w:tc>
          <w:tcPr>
            <w:shd w:themeFill="text2"/>
            <w:vAlign w:val="top"/>
          </w:tcPr>
          <w:p>
            <w:pPr>
              <w:keepLines/>
              <w:keepNext/>
              <w:jc w:val="right"/>
            </w:pPr>
            <w:r>
              <w:rPr>
                <w:b w:val="true"/>
                <w:color w:themeColor="background1"/>
              </w:rPr>
              <w:t xml:space="preserve">Potential Liability 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R-410A</w:t>
            </w:r>
          </w:p>
        </w:tc>
        <w:tc>
          <w:tcPr>
            <w:vAlign w:val="top"/>
          </w:tcPr>
          <w:p>
            <w:pPr>
              <w:keepLines/>
              <w:jc w:val="right"/>
            </w:pPr>
            <w:r>
              <w:rPr/>
              <w:t xml:space="preserve">3.76</w:t>
            </w:r>
          </w:p>
        </w:tc>
      </w:tr>
      <w:tr>
        <w:tc>
          <w:tcPr>
            <w:vAlign w:val="top"/>
          </w:tcPr>
          <w:p>
            <w:pPr>
              <w:keepLines/>
            </w:pPr>
            <w:r>
              <w:rPr/>
              <w:t xml:space="preserve">Total</w:t>
            </w:r>
          </w:p>
        </w:tc>
        <w:tc>
          <w:tcPr>
            <w:vAlign w:val="top"/>
          </w:tcPr>
          <w:p>
            <w:pPr>
              <w:keepLines/>
              <w:jc w:val="right"/>
            </w:pPr>
            <w:r>
              <w:rPr/>
              <w:t xml:space="preserve">3.76</w:t>
            </w:r>
          </w:p>
        </w:tc>
      </w:tr>
    </w:tbl>
    <w:p w:rsidRPr="00BB4E53" w:rsidR="00BB4E53" w:rsidP="00784794" w:rsidRDefault="00BB4E53" w14:paraId="108DF296" w14:textId="77777777">
      <w:pPr>
        <w:jc w:val="center"/>
      </w:pPr>
    </w:p>
    <w:p w:rsidR="004A6288" w:rsidP="00D722CA" w:rsidRDefault="00C94F0B" w14:paraId="2C5750E2" w14:textId="77777777">
      <w:pPr>
        <w:pStyle w:val="Caption"/>
        <w:keepNext/>
        <w:keepLines/>
        <w:jc w:val="center"/>
        <w:rPr>
          <w:color w:val="6D6E70" w:themeColor="text2"/>
        </w:rPr>
      </w:pPr>
      <w:bookmarkStart w:name="_Toc300752213" w:id="25"/>
      <w:proofErr w:type="gramStart"/>
      <w:r w:rsidRPr="00784794">
        <w:rPr>
          <w:color w:val="6D6E70" w:themeColor="text2"/>
        </w:rPr>
        <w:t xml:space="preserve">Table </w:t>
      </w:r>
      <w:r w:rsidRPr="00784794">
        <w:rPr>
          <w:color w:val="6D6E70" w:themeColor="text2"/>
        </w:rPr>
        <w:fldChar w:fldCharType="begin"/>
      </w:r>
      <w:r w:rsidRPr="00784794">
        <w:rPr>
          <w:color w:val="6D6E70" w:themeColor="text2"/>
        </w:rPr>
        <w:instrText xml:space="preserve"> SEQ Table \* ARABIC </w:instrText>
      </w:r>
      <w:r w:rsidRPr="00784794">
        <w:rPr>
          <w:color w:val="6D6E70" w:themeColor="text2"/>
        </w:rPr>
        <w:fldChar w:fldCharType="separate"/>
      </w:r>
      <w:r w:rsidRPr="00784794" w:rsidR="00D929BE">
        <w:rPr>
          <w:noProof/>
          <w:color w:val="6D6E70" w:themeColor="text2"/>
        </w:rPr>
        <w:t>7</w:t>
      </w:r>
      <w:r w:rsidRPr="00784794">
        <w:rPr>
          <w:color w:val="6D6E70" w:themeColor="text2"/>
        </w:rPr>
        <w:fldChar w:fldCharType="end"/>
      </w:r>
      <w:r w:rsidRPr="00784794" w:rsidR="00DE6672">
        <w:rPr>
          <w:color w:val="6D6E70" w:themeColor="text2"/>
        </w:rPr>
        <w:t>: Land-use liabilities.</w:t>
      </w:r>
      <w:proofErr w:type="gramEnd"/>
      <w:r w:rsidRPr="00784794" w:rsidR="00DE6672">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Type of sequestration</w:t>
            </w:r>
          </w:p>
        </w:tc>
        <w:tc>
          <w:tcPr>
            <w:shd w:themeFill="text2"/>
            <w:vAlign w:val="top"/>
          </w:tcPr>
          <w:p>
            <w:pPr>
              <w:keepLines/>
              <w:keepNext/>
              <w:jc w:val="right"/>
            </w:pPr>
            <w:r>
              <w:rPr>
                <w:b w:val="true"/>
                <w:color w:themeColor="background1"/>
              </w:rPr>
              <w:t xml:space="preserve">Liability 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Contingent liability (carbon sequestered this reporting period)</w:t>
            </w:r>
          </w:p>
        </w:tc>
        <w:tc>
          <w:tcPr>
            <w:vAlign w:val="top"/>
          </w:tcPr>
          <w:p>
            <w:pPr>
              <w:keepLines/>
              <w:jc w:val="right"/>
            </w:pPr>
            <w:r>
              <w:rPr/>
              <w:t xml:space="preserve">0.00</w:t>
            </w:r>
          </w:p>
        </w:tc>
      </w:tr>
      <w:tr>
        <w:tc>
          <w:tcPr>
            <w:vAlign w:val="top"/>
          </w:tcPr>
          <w:p>
            <w:pPr>
              <w:keepLines/>
            </w:pPr>
            <w:r>
              <w:rPr/>
              <w:t xml:space="preserve">Potential sequestration liability (total carbon stock)</w:t>
            </w:r>
          </w:p>
        </w:tc>
        <w:tc>
          <w:tcPr>
            <w:vAlign w:val="top"/>
          </w:tcPr>
          <w:p>
            <w:pPr>
              <w:keepLines/>
              <w:jc w:val="right"/>
            </w:pPr>
            <w:r>
              <w:rPr/>
              <w:t xml:space="preserve">0.00</w:t>
            </w:r>
          </w:p>
        </w:tc>
      </w:tr>
    </w:tbl>
    <w:p w:rsidRPr="008E5559" w:rsidR="008E5559" w:rsidP="008E5559" w:rsidRDefault="008E5559" w14:paraId="5038BF91" w14:textId="77777777"/>
    <w:p w:rsidR="004A6288" w:rsidP="00D722CA" w:rsidRDefault="00C94F0B" w14:paraId="5D1466B6" w14:textId="77777777">
      <w:pPr>
        <w:pStyle w:val="Caption"/>
        <w:keepNext/>
        <w:keepLines/>
        <w:jc w:val="center"/>
        <w:rPr>
          <w:color w:val="6D6E70" w:themeColor="text2"/>
        </w:rPr>
      </w:pPr>
      <w:bookmarkStart w:name="_Toc300752214" w:id="26"/>
      <w:proofErr w:type="gramStart"/>
      <w:r w:rsidRPr="00485A72">
        <w:rPr>
          <w:color w:val="6D6E70" w:themeColor="text2"/>
        </w:rPr>
        <w:t xml:space="preserve">Table </w:t>
      </w:r>
      <w:r w:rsidRPr="00485A72">
        <w:rPr>
          <w:color w:val="6D6E70" w:themeColor="text2"/>
        </w:rPr>
        <w:fldChar w:fldCharType="begin"/>
      </w:r>
      <w:r w:rsidRPr="00485A72">
        <w:rPr>
          <w:color w:val="6D6E70" w:themeColor="text2"/>
        </w:rPr>
        <w:instrText xml:space="preserve"> SEQ Table \* ARABIC </w:instrText>
      </w:r>
      <w:r w:rsidRPr="00485A72">
        <w:rPr>
          <w:color w:val="6D6E70" w:themeColor="text2"/>
        </w:rPr>
        <w:fldChar w:fldCharType="separate"/>
      </w:r>
      <w:r w:rsidRPr="00485A72" w:rsidR="00D929BE">
        <w:rPr>
          <w:noProof/>
          <w:color w:val="6D6E70" w:themeColor="text2"/>
        </w:rPr>
        <w:t>8</w:t>
      </w:r>
      <w:r w:rsidRPr="00485A72">
        <w:rPr>
          <w:color w:val="6D6E70" w:themeColor="text2"/>
        </w:rPr>
        <w:fldChar w:fldCharType="end"/>
      </w:r>
      <w:r w:rsidRPr="00485A72" w:rsidR="00DE6672">
        <w:rPr>
          <w:color w:val="6D6E70" w:themeColor="text2"/>
        </w:rPr>
        <w:t>: Renewable electricity generation on-site.</w:t>
      </w:r>
      <w:bookmarkEnd w:id="26"/>
      <w:proofErr w:type="gramEnd"/>
      <w:r w:rsidRPr="00485A72" w:rsidR="00485A72">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Renewable generation on-site</w:t>
            </w:r>
          </w:p>
        </w:tc>
        <w:tc>
          <w:tcPr>
            <w:shd w:themeFill="text2"/>
            <w:vAlign w:val="top"/>
          </w:tcPr>
          <w:p>
            <w:pPr>
              <w:keepLines/>
              <w:keepNext/>
              <w:jc w:val="right"/>
            </w:pPr>
            <w:r>
              <w:rPr>
                <w:b w:val="true"/>
                <w:color w:themeColor="background1"/>
              </w:rPr>
              <w:t xml:space="preserve">kWh generated</w:t>
            </w:r>
          </w:p>
        </w:tc>
        <w:tc>
          <w:tcPr>
            <w:shd w:themeFill="text2"/>
            <w:vAlign w:val="top"/>
          </w:tcPr>
          <w:p>
            <w:pPr>
              <w:keepLines/>
              <w:keepNext/>
              <w:jc w:val="right"/>
            </w:pPr>
            <w:r>
              <w:rPr>
                <w:b w:val="true"/>
                <w:color w:themeColor="background1"/>
              </w:rPr>
              <w:t xml:space="preserve">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 avoided</w:t>
            </w:r>
          </w:p>
        </w:tc>
      </w:tr>
      <w:tr>
        <w:tc>
          <w:tcPr>
            <w:vAlign w:val="top"/>
          </w:tcPr>
          <w:p>
            <w:pPr>
              <w:keepLines/>
            </w:pPr>
            <w:r>
              <w:rPr/>
              <w:t xml:space="preserve">No activity recorded</w:t>
            </w:r>
          </w:p>
        </w:tc>
        <w:tc>
          <w:tcPr>
            <w:vAlign w:val="top"/>
          </w:tcPr>
          <w:p>
            <w:pPr>
              <w:keepLines/>
            </w:pPr>
            <w:r>
              <w:rPr/>
              <w:t xml:space="preserve">n/a</w:t>
            </w:r>
          </w:p>
        </w:tc>
        <w:tc>
          <w:tcPr>
            <w:vAlign w:val="top"/>
          </w:tcPr>
          <w:p>
            <w:pPr>
              <w:keepLines/>
            </w:pPr>
            <w:r>
              <w:rPr/>
              <w:t xml:space="preserve">n/a</w:t>
            </w:r>
          </w:p>
        </w:tc>
      </w:tr>
    </w:tbl>
    <w:p w:rsidRPr="005E388C" w:rsidR="00485A72" w:rsidP="00485A72" w:rsidRDefault="00485A72" w14:paraId="76D4A7E6" w14:textId="77777777">
      <w:pPr>
        <w:jc w:val="center"/>
      </w:pPr>
    </w:p>
    <w:p w:rsidR="004A6288" w:rsidP="00D722CA" w:rsidRDefault="00C94F0B" w14:paraId="2B5AA58F" w14:textId="77777777">
      <w:pPr>
        <w:pStyle w:val="Caption"/>
        <w:keepNext/>
        <w:keepLines/>
        <w:jc w:val="center"/>
        <w:rPr>
          <w:color w:val="6D6E70" w:themeColor="text2"/>
        </w:rPr>
      </w:pPr>
      <w:bookmarkStart w:name="_Toc300752215" w:id="27"/>
      <w:r w:rsidRPr="00485A72">
        <w:rPr>
          <w:color w:val="6D6E70" w:themeColor="text2"/>
        </w:rPr>
        <w:t xml:space="preserve">Table </w:t>
      </w:r>
      <w:r w:rsidRPr="00485A72">
        <w:rPr>
          <w:color w:val="6D6E70" w:themeColor="text2"/>
        </w:rPr>
        <w:fldChar w:fldCharType="begin"/>
      </w:r>
      <w:r w:rsidRPr="00485A72">
        <w:rPr>
          <w:color w:val="6D6E70" w:themeColor="text2"/>
        </w:rPr>
        <w:instrText xml:space="preserve"> SEQ Table \* ARABIC </w:instrText>
      </w:r>
      <w:r w:rsidRPr="00485A72">
        <w:rPr>
          <w:color w:val="6D6E70" w:themeColor="text2"/>
        </w:rPr>
        <w:fldChar w:fldCharType="separate"/>
      </w:r>
      <w:r w:rsidRPr="00485A72" w:rsidR="00D929BE">
        <w:rPr>
          <w:noProof/>
          <w:color w:val="6D6E70" w:themeColor="text2"/>
        </w:rPr>
        <w:t>9</w:t>
      </w:r>
      <w:r w:rsidRPr="00485A72">
        <w:rPr>
          <w:color w:val="6D6E70" w:themeColor="text2"/>
        </w:rPr>
        <w:fldChar w:fldCharType="end"/>
      </w:r>
      <w:r w:rsidRPr="00485A72" w:rsidR="00DE6672">
        <w:rPr>
          <w:color w:val="6D6E70" w:themeColor="text2"/>
        </w:rPr>
        <w:t>: Purchased emissions reductions.</w:t>
      </w:r>
      <w:bookmarkEnd w:id="27"/>
      <w:r w:rsidRPr="00485A72" w:rsidR="00485A72">
        <w:rPr>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Type of emission reductions purchased</w:t>
            </w:r>
          </w:p>
        </w:tc>
        <w:tc>
          <w:tcPr>
            <w:shd w:themeFill="text2"/>
            <w:vAlign w:val="top"/>
          </w:tcPr>
          <w:p>
            <w:pPr>
              <w:keepLines/>
              <w:keepNext/>
              <w:jc w:val="right"/>
            </w:pPr>
            <w:r>
              <w:rPr>
                <w:b w:val="true"/>
                <w:color w:themeColor="background1"/>
              </w:rPr>
              <w:t xml:space="preserve">Amount</w:t>
            </w:r>
          </w:p>
        </w:tc>
        <w:tc>
          <w:tcPr>
            <w:shd w:themeFill="text2"/>
            <w:vAlign w:val="top"/>
          </w:tcPr>
          <w:p>
            <w:pPr>
              <w:keepLines/>
              <w:keepNext/>
              <w:jc w:val="right"/>
            </w:pPr>
            <w:r>
              <w:rPr>
                <w:b w:val="true"/>
                <w:color w:themeColor="background1"/>
              </w:rPr>
              <w:t xml:space="preserve">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Certified green electricity (t</w:t>
            </w:r>
            <w:r>
              <w:rPr/>
              <w:rPr>
                <w:vertAlign w:val="baseline"/>
              </w:rPr>
              <w:t xml:space="preserve">CO</w:t>
            </w:r>
            <w:r>
              <w:rPr/>
              <w:rPr>
                <w:vertAlign w:val="subscript"/>
              </w:rPr>
              <w:t xml:space="preserve">2</w:t>
            </w:r>
            <w:r>
              <w:rPr/>
              <w:t xml:space="preserve">e)</w:t>
            </w:r>
          </w:p>
        </w:tc>
        <w:tc>
          <w:tcPr>
            <w:vAlign w:val="top"/>
          </w:tcPr>
          <w:p>
            <w:pPr>
              <w:keepLines/>
              <w:jc w:val="right"/>
            </w:pPr>
            <w:r>
              <w:rPr/>
              <w:t xml:space="preserve">0.00</w:t>
            </w:r>
          </w:p>
        </w:tc>
        <w:tc>
          <w:tcPr>
            <w:vAlign w:val="top"/>
          </w:tcPr>
          <w:p>
            <w:pPr>
              <w:keepLines/>
              <w:jc w:val="right"/>
            </w:pPr>
            <w:r>
              <w:rPr/>
              <w:t xml:space="preserve">0.00</w:t>
            </w:r>
          </w:p>
        </w:tc>
      </w:tr>
      <w:tr>
        <w:tc>
          <w:tcPr>
            <w:vAlign w:val="top"/>
          </w:tcPr>
          <w:p>
            <w:pPr>
              <w:keepLines/>
            </w:pPr>
            <w:r>
              <w:rPr/>
              <w:t xml:space="preserve">Purchased emission reductions (t</w:t>
            </w:r>
            <w:r>
              <w:rPr/>
              <w:rPr>
                <w:vertAlign w:val="baseline"/>
              </w:rPr>
              <w:t xml:space="preserve">CO</w:t>
            </w:r>
            <w:r>
              <w:rPr/>
              <w:rPr>
                <w:vertAlign w:val="subscript"/>
              </w:rPr>
              <w:t xml:space="preserve">2</w:t>
            </w:r>
            <w:r>
              <w:rPr/>
              <w:t xml:space="preserve">e)</w:t>
            </w:r>
          </w:p>
        </w:tc>
        <w:tc>
          <w:tcPr>
            <w:vAlign w:val="top"/>
          </w:tcPr>
          <w:p>
            <w:pPr>
              <w:keepLines/>
              <w:jc w:val="right"/>
            </w:pPr>
            <w:r>
              <w:rPr/>
              <w:t xml:space="preserve">0.00</w:t>
            </w:r>
          </w:p>
        </w:tc>
        <w:tc>
          <w:tcPr>
            <w:vAlign w:val="top"/>
          </w:tcPr>
          <w:p>
            <w:pPr>
              <w:keepLines/>
              <w:jc w:val="right"/>
            </w:pPr>
            <w:r>
              <w:rPr/>
              <w:t xml:space="preserve">0.00</w:t>
            </w:r>
          </w:p>
        </w:tc>
      </w:tr>
      <w:tr>
        <w:tc>
          <w:tcPr>
            <w:vAlign w:val="top"/>
          </w:tcPr>
          <w:p>
            <w:pPr>
              <w:keepLines/>
            </w:pPr>
            <w:r>
              <w:rPr/>
              <w:t xml:space="preserve">Total</w:t>
            </w:r>
          </w:p>
        </w:tc>
        <w:tc>
          <w:tcPr>
            <w:vAlign w:val="top"/>
          </w:tcPr>
          <w:p>
            <w:pPr>
              <w:keepLines/>
              <w:jc w:val="right"/>
            </w:pPr>
            <w:r>
              <w:rPr/>
              <w:t xml:space="preserve">0.00</w:t>
            </w:r>
          </w:p>
        </w:tc>
        <w:tc>
          <w:tcPr>
            <w:vAlign w:val="top"/>
          </w:tcPr>
          <w:p>
            <w:pPr>
              <w:keepLines/>
              <w:jc w:val="right"/>
            </w:pPr>
            <w:r>
              <w:rPr/>
              <w:t xml:space="preserve">0.00</w:t>
            </w:r>
          </w:p>
        </w:tc>
      </w:tr>
    </w:tbl>
    <w:p w:rsidR="0023234C" w:rsidRDefault="0023234C" w14:paraId="0EE4626A" w14:textId="77777777">
      <w:pPr>
        <w:rPr>
          <w:rFonts w:eastAsia="Times New Roman" w:cs="Times New Roman"/>
          <w:bCs/>
          <w:sz w:val="30"/>
          <w:szCs w:val="30"/>
        </w:rPr>
      </w:pPr>
      <w:r>
        <w:lastRenderedPageBreak/>
        <w:br w:type="page"/>
      </w:r>
    </w:p>
    <w:p w:rsidRPr="00DE6672" w:rsidR="00DE6672" w:rsidP="00A557E1" w:rsidRDefault="00A557E1" w14:paraId="1E14F829" w14:textId="0625286F">
      <w:pPr>
        <w:pStyle w:val="Heading1"/>
      </w:pPr>
      <w:bookmarkStart w:name="_Toc433976120" w:id="28"/>
      <w:r>
        <w:lastRenderedPageBreak/>
        <w:t>1</w:t>
      </w:r>
      <w:r>
        <w:tab/>
      </w:r>
      <w:r w:rsidRPr="00A557E1" w:rsidR="00DE6672">
        <w:t>Introduction</w:t>
      </w:r>
      <w:bookmarkEnd w:id="28"/>
    </w:p>
    <w:p w:rsidR="00DE6672" w:rsidP="002C1195" w:rsidRDefault="00DE6672" w14:paraId="25810235" w14:textId="77777777">
      <w:pPr>
        <w:pStyle w:val="BodyText"/>
        <w:rPr>
          <w:szCs w:val="20"/>
        </w:rPr>
      </w:pPr>
      <w:r w:rsidRPr="00FD0C66">
        <w:rPr>
          <w:szCs w:val="20"/>
        </w:rPr>
        <w:t>This report is the annual greenhouse gas (GHG) emissions</w:t>
      </w:r>
      <w:r w:rsidR="003E6EF5">
        <w:rPr>
          <w:rStyle w:val="FootnoteReference"/>
          <w:szCs w:val="20"/>
        </w:rPr>
        <w:footnoteReference w:id="1"/>
      </w:r>
      <w:r w:rsidRPr="00FD0C66">
        <w:rPr>
          <w:szCs w:val="20"/>
        </w:rPr>
        <w:t xml:space="preserve"> inventory report for the named organisation. The inventory is a complete and accurate quantification of the amount of GHG emissions that can be directly attributed to the organisation’s operations within the declared boundary and scope for the specified reporting period. The inventory has been prepared in accordance with the requirements of the </w:t>
      </w:r>
      <w:r w:rsidRPr="003E6EF5">
        <w:rPr>
          <w:b/>
          <w:szCs w:val="20"/>
        </w:rPr>
        <w:t>measure</w:t>
      </w:r>
      <w:r w:rsidRPr="00FD0C66">
        <w:rPr>
          <w:szCs w:val="20"/>
        </w:rPr>
        <w:t>-step</w:t>
      </w:r>
      <w:r w:rsidR="003E6EF5">
        <w:rPr>
          <w:rStyle w:val="FootnoteReference"/>
          <w:szCs w:val="20"/>
        </w:rPr>
        <w:footnoteReference w:id="2"/>
      </w:r>
      <w:r w:rsidRPr="00FD0C66">
        <w:rPr>
          <w:szCs w:val="20"/>
        </w:rPr>
        <w:t xml:space="preserve"> of the </w:t>
      </w:r>
      <w:proofErr w:type="gramStart"/>
      <w:r w:rsidRPr="00FD0C66">
        <w:rPr>
          <w:szCs w:val="20"/>
        </w:rPr>
        <w:t>Programme ,</w:t>
      </w:r>
      <w:proofErr w:type="gramEnd"/>
      <w:r w:rsidRPr="00FD0C66">
        <w:rPr>
          <w:szCs w:val="20"/>
        </w:rPr>
        <w:t xml:space="preserve"> which is based on the </w:t>
      </w:r>
      <w:r w:rsidRPr="00FD0C66">
        <w:rPr>
          <w:i/>
          <w:szCs w:val="20"/>
        </w:rPr>
        <w:t>Greenhouse Gas Protocol: A Corporate Accounting and Reporting Standard (2004) and ISO 14064-1:2006 Specification with Guidance at the Organization Level for Quantification and Reporting of Greenhouse Gas Emissions and Removals</w:t>
      </w:r>
      <w:r w:rsidR="003E6EF5">
        <w:rPr>
          <w:rStyle w:val="FootnoteReference"/>
          <w:i/>
          <w:szCs w:val="20"/>
        </w:rPr>
        <w:footnoteReference w:id="3"/>
      </w:r>
      <w:r w:rsidRPr="00FD0C66">
        <w:rPr>
          <w:szCs w:val="20"/>
        </w:rPr>
        <w:t>. Where relevant, the inventory is aligned with industry or sector best practice for emissions measurement and reporting.</w:t>
      </w:r>
    </w:p>
    <w:p w:rsidRPr="00FD0C66" w:rsidR="00FD0C66" w:rsidP="002C1195" w:rsidRDefault="00FD0C66" w14:paraId="613E5F67" w14:textId="77777777">
      <w:pPr>
        <w:pStyle w:val="BodyText"/>
        <w:rPr>
          <w:szCs w:val="20"/>
        </w:rPr>
      </w:pPr>
    </w:p>
    <w:p w:rsidRPr="00DE6672" w:rsidR="00DE6672" w:rsidP="00A557E1" w:rsidRDefault="00A557E1" w14:paraId="30DEDC71" w14:textId="5A8CD9E7">
      <w:pPr>
        <w:pStyle w:val="Heading1"/>
      </w:pPr>
      <w:bookmarkStart w:name="_Toc433976121" w:id="29"/>
      <w:r>
        <w:t>2</w:t>
      </w:r>
      <w:r>
        <w:tab/>
      </w:r>
      <w:r w:rsidRPr="00DE6672" w:rsidR="00DE6672">
        <w:t>Statement of intent</w:t>
      </w:r>
      <w:bookmarkEnd w:id="29"/>
    </w:p>
    <w:p w:rsidRPr="00FD0C66" w:rsidR="00DE6672" w:rsidP="002C1195" w:rsidRDefault="00DE6672" w14:paraId="70BBB5B6" w14:textId="77777777">
      <w:pPr>
        <w:pStyle w:val="BodyText"/>
        <w:rPr>
          <w:szCs w:val="20"/>
        </w:rPr>
      </w:pPr>
      <w:r w:rsidRPr="00FD0C66">
        <w:rPr>
          <w:szCs w:val="20"/>
        </w:rPr>
        <w:t>This inventory forms part of the organisation’s commitment to gain Programme certification.</w:t>
      </w:r>
    </w:p>
    <w:p w:rsidRPr="004F405B" w:rsidR="00485A72" w:rsidP="00485A72" w:rsidRDefault="00485A72" w14:paraId="2F3B911A" w14:textId="77777777">
      <w:r w:rsidRPr="004F405B">
        <w:t>This inventory reports into the CEMARS programme.</w:t>
      </w:r>
    </w:p>
    <w:p w:rsidRPr="00FD0C66" w:rsidR="00FD0C66" w:rsidP="002C1195" w:rsidRDefault="00FD0C66" w14:paraId="14E474C4" w14:textId="77777777">
      <w:pPr>
        <w:pStyle w:val="BodyText"/>
        <w:rPr>
          <w:szCs w:val="20"/>
        </w:rPr>
      </w:pPr>
    </w:p>
    <w:p w:rsidR="00DE6672" w:rsidP="00A557E1" w:rsidRDefault="00A557E1" w14:paraId="1B60363B" w14:textId="68AC6E0F">
      <w:pPr>
        <w:pStyle w:val="Heading1"/>
      </w:pPr>
      <w:bookmarkStart w:name="_Toc433976122" w:id="30"/>
      <w:r>
        <w:t>3</w:t>
      </w:r>
      <w:r>
        <w:tab/>
      </w:r>
      <w:r w:rsidRPr="00DE6672" w:rsidR="00DE6672">
        <w:t>Organisation description</w:t>
      </w:r>
      <w:bookmarkEnd w:id="30"/>
    </w:p>
    <w:p w:rsidRPr="004F405B" w:rsidR="00485A72" w:rsidP="005771B3" w:rsidRDefault="00485A72" w14:paraId="27C9C731" w14:textId="77777777">
      <w:pPr>
        <w:spacing w:before="120"/>
      </w:pPr>
      <w:r w:rsidRPr="004F405B">
        <w:t>Masterton District Council (MDC) is the territorial authority for its area. </w:t>
      </w:r>
    </w:p>
    <w:p w:rsidRPr="004F405B" w:rsidR="00485A72" w:rsidP="005771B3" w:rsidRDefault="00485A72" w14:paraId="27C9C731" w14:textId="77777777">
      <w:pPr>
        <w:spacing w:before="120"/>
      </w:pPr>
      <w:r w:rsidRPr="004F405B">
        <w:t xml:space="preserve">In meeting its purpose, Council has a variety of responsibilities including, but not limited to: </w:t>
      </w:r>
    </w:p>
    <w:p w:rsidRPr="004F405B" w:rsidR="00485A72" w:rsidP="005771B3" w:rsidRDefault="00485A72" w14:paraId="27C9C731" w14:textId="77777777">
      <w:pPr>
        <w:spacing w:before="120"/>
      </w:pPr>
      <w:r w:rsidRPr="004F405B">
        <w:t xml:space="preserve">-	formulating the Masterton district's strategic direction in partnership with the community - through the Long-Term Plan (LTP); </w:t>
      </w:r>
    </w:p>
    <w:p w:rsidRPr="004F405B" w:rsidR="00485A72" w:rsidP="005771B3" w:rsidRDefault="00485A72" w14:paraId="27C9C731" w14:textId="77777777">
      <w:pPr>
        <w:spacing w:before="120"/>
      </w:pPr>
      <w:r w:rsidRPr="004F405B">
        <w:t xml:space="preserve">-	determining the services and activities to be undertaken by Council; </w:t>
      </w:r>
    </w:p>
    <w:p w:rsidRPr="004F405B" w:rsidR="00485A72" w:rsidP="005771B3" w:rsidRDefault="00485A72" w14:paraId="27C9C731" w14:textId="77777777">
      <w:pPr>
        <w:spacing w:before="120"/>
      </w:pPr>
      <w:r w:rsidRPr="004F405B">
        <w:t xml:space="preserve">-	administering regulations and upholding the law, including the development and enforcement of bylaws; </w:t>
      </w:r>
    </w:p>
    <w:p w:rsidRPr="004F405B" w:rsidR="00485A72" w:rsidP="005771B3" w:rsidRDefault="00485A72" w14:paraId="27C9C731" w14:textId="77777777">
      <w:pPr>
        <w:spacing w:before="120"/>
      </w:pPr>
      <w:r w:rsidRPr="004F405B">
        <w:t xml:space="preserve">-	managing local network and community infrastructure; </w:t>
      </w:r>
    </w:p>
    <w:p w:rsidRPr="004F405B" w:rsidR="00485A72" w:rsidP="005771B3" w:rsidRDefault="00485A72" w14:paraId="27C9C731" w14:textId="77777777">
      <w:pPr>
        <w:spacing w:before="120"/>
      </w:pPr>
      <w:r w:rsidRPr="004F405B">
        <w:t xml:space="preserve">-	facilitating solutions to meet local needs; </w:t>
      </w:r>
    </w:p>
    <w:p w:rsidRPr="004F405B" w:rsidR="00485A72" w:rsidP="005771B3" w:rsidRDefault="00485A72" w14:paraId="27C9C731" w14:textId="77777777">
      <w:pPr>
        <w:spacing w:before="120"/>
      </w:pPr>
      <w:r w:rsidRPr="004F405B">
        <w:t xml:space="preserve">-	advocating on behalf of the local community with central government, other local authorities and agencies; </w:t>
      </w:r>
    </w:p>
    <w:p w:rsidRPr="004F405B" w:rsidR="00485A72" w:rsidP="005771B3" w:rsidRDefault="00485A72" w14:paraId="27C9C731" w14:textId="77777777">
      <w:pPr>
        <w:spacing w:before="120"/>
      </w:pPr>
      <w:r w:rsidRPr="004F405B">
        <w:t xml:space="preserve">-	managing the environment; </w:t>
      </w:r>
    </w:p>
    <w:p w:rsidRPr="004F405B" w:rsidR="00485A72" w:rsidP="005771B3" w:rsidRDefault="00485A72" w14:paraId="27C9C731" w14:textId="77777777">
      <w:pPr>
        <w:spacing w:before="120"/>
      </w:pPr>
      <w:r w:rsidRPr="004F405B">
        <w:t xml:space="preserve">-	encouraging community involvement in Council’s decision making processes; and </w:t>
      </w:r>
    </w:p>
    <w:p w:rsidRPr="004F405B" w:rsidR="00485A72" w:rsidP="005771B3" w:rsidRDefault="00485A72" w14:paraId="27C9C731" w14:textId="77777777">
      <w:pPr>
        <w:spacing w:before="120"/>
      </w:pPr>
      <w:r w:rsidRPr="004F405B">
        <w:t xml:space="preserve">-	ensuring effective succession of elected members. </w:t>
      </w:r>
    </w:p>
    <w:p w:rsidRPr="004F405B" w:rsidR="00485A72" w:rsidP="005771B3" w:rsidRDefault="00485A72" w14:paraId="27C9C731" w14:textId="77777777">
      <w:pPr>
        <w:spacing w:before="120"/>
      </w:pPr>
      <w:r w:rsidRPr="004F405B">
        <w:t xml:space="preserve">MDC recently developed the My Masterton: Our People, Our Land Strategy He Hiringa Tangata, He Hiringa Whenua. The strategy provides direction to support social, cultural, environmental and economic development that will have a tangible impact on the wellbeing on the wellbeing of our people.  The Environmental development is identified as the foundation for the strategy and our view is that our environment is critical for all other areas of development. We rely on the environment for clean air, water and for the food we grow. It supports industries and our economy, and can provide opportunities for social connection. The environment also contributes to cultural development through better understanding of Iwi values/kaupapa, the preservation of our natural heritage and through our national icons like the kiwi, silver fern, koru. The environment also provides significant economic benefits through the ecosystem and natural capital. </w:t>
      </w:r>
    </w:p>
    <w:p w:rsidRPr="004F405B" w:rsidR="00485A72" w:rsidP="005771B3" w:rsidRDefault="00485A72" w14:paraId="27C9C731" w14:textId="77777777">
      <w:pPr>
        <w:spacing w:before="120"/>
      </w:pPr>
      <w:r w:rsidRPr="004F405B">
        <w:t xml:space="preserve">Our aspiration is for Masterton/Whakaoriori to be a leader in environmental development, with Council, Iwi, stakeholders and our community working together as kaitiaki/stewards to preserve and enhance our natural environment and to create a better future for our people. Council is committed to reducing its impact on climate change (mitigation actions) and preparing for future changes (adaptation actions) and one of the mitigation actions is to manage and reduce its carbon footprint.</w:t>
      </w:r>
    </w:p>
    <w:p w:rsidRPr="002C1195" w:rsidR="00FD0C66" w:rsidP="002C1195" w:rsidRDefault="00FD0C66" w14:paraId="78E97625" w14:textId="77777777">
      <w:pPr>
        <w:pStyle w:val="BodyText"/>
        <w:rPr>
          <w:color w:val="FF0000"/>
          <w:szCs w:val="20"/>
        </w:rPr>
      </w:pPr>
    </w:p>
    <w:p w:rsidRPr="00DE6672" w:rsidR="00DE6672" w:rsidP="00A557E1" w:rsidRDefault="00A557E1" w14:paraId="2F665BC9" w14:textId="3E3840A8">
      <w:pPr>
        <w:pStyle w:val="Heading1"/>
      </w:pPr>
      <w:bookmarkStart w:name="_Toc433976123" w:id="31"/>
      <w:r>
        <w:t>4</w:t>
      </w:r>
      <w:r>
        <w:tab/>
      </w:r>
      <w:r w:rsidRPr="00DE6672" w:rsidR="00DE6672">
        <w:t>Organisational boundaries included for this reporting period</w:t>
      </w:r>
      <w:bookmarkEnd w:id="31"/>
    </w:p>
    <w:p w:rsidR="00474146" w:rsidP="002C1195" w:rsidRDefault="00DE6672" w14:paraId="12ED8CDA" w14:textId="77777777">
      <w:pPr>
        <w:pStyle w:val="BodyText"/>
        <w:rPr>
          <w:szCs w:val="20"/>
        </w:rPr>
      </w:pPr>
      <w:r w:rsidRPr="00FD0C66">
        <w:rPr>
          <w:szCs w:val="20"/>
        </w:rPr>
        <w:t xml:space="preserve">Organisational boundaries were set with reference to the methodology described in the GHG Protocol and ISO 14064-1:2006 standards. The GHG Protocol allows two distinct approaches to be used to consolidate GHG emissions: the equity share and control (financial or operational) approaches. The Programme specifies that the operational control consolidation approach should be used unless otherwise agreed with the Programme. </w:t>
      </w:r>
    </w:p>
    <w:p w:rsidRPr="0055325E" w:rsidR="00474146" w:rsidP="00474146" w:rsidRDefault="00474146" w14:paraId="69BC2FE7" w14:textId="77777777">
      <w:r>
        <w:t>An operational control consolidation approach was used to account for emissions.</w:t>
      </w:r>
    </w:p>
    <w:drawing>
      <wp:inline distT="0" distB="0" distL="0" distR="0" wp14:editId="50D07946">
        <wp:extent cx="5725500" cy="64430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7bff50eba4c54f90" cstate="print">
                  <a:extLst>
                    <a:ext uri="{28A0092B-C50C-407E-A947-70E740481C1C}"/>
                  </a:extLst>
                </a:blip>
                <a:stretch>
                  <a:fillRect/>
                </a:stretch>
              </pic:blipFill>
              <pic:spPr>
                <a:xfrm>
                  <a:off x="0" y="0"/>
                  <a:ext cx="5725500" cy="6443096"/>
                </a:xfrm>
                <a:prstGeom prst="rect">
                  <a:avLst/>
                </a:prstGeom>
              </pic:spPr>
            </pic:pic>
          </a:graphicData>
        </a:graphic>
      </wp:inline>
    </w:drawing>
    <w:p w:rsidRPr="0055325E" w:rsidR="00474146" w:rsidP="00451181" w:rsidRDefault="00474146" w14:paraId="0C915A20" w14:textId="77777777">
      <w:pPr>
        <w:jc w:val="center"/>
      </w:pPr>
      <w:r w:rsidRPr="0055325E">
        <w:t> </w:t>
      </w:r>
    </w:p>
    <w:p w:rsidR="00DE6672" w:rsidP="0023234C" w:rsidRDefault="002C1195" w14:paraId="40D15CAC" w14:textId="77777777">
      <w:pPr>
        <w:pStyle w:val="Caption"/>
        <w:jc w:val="center"/>
        <w:rPr>
          <w:b w:val="0"/>
          <w:color w:val="6D6E70" w:themeColor="text2"/>
        </w:rPr>
      </w:pPr>
      <w:bookmarkStart w:name="_Toc300751926" w:id="32"/>
      <w:r w:rsidRPr="00072873">
        <w:rPr>
          <w:color w:val="6D6E70" w:themeColor="text2"/>
        </w:rPr>
        <w:t xml:space="preserve">Figure </w:t>
      </w:r>
      <w:r w:rsidRPr="00072873" w:rsidR="0079057A">
        <w:rPr>
          <w:color w:val="6D6E70" w:themeColor="text2"/>
        </w:rPr>
        <w:fldChar w:fldCharType="begin"/>
      </w:r>
      <w:r w:rsidRPr="00072873" w:rsidR="0079057A">
        <w:rPr>
          <w:color w:val="6D6E70" w:themeColor="text2"/>
        </w:rPr>
        <w:instrText xml:space="preserve"> SEQ Figure \* ARABIC </w:instrText>
      </w:r>
      <w:r w:rsidRPr="00072873" w:rsidR="0079057A">
        <w:rPr>
          <w:color w:val="6D6E70" w:themeColor="text2"/>
        </w:rPr>
        <w:fldChar w:fldCharType="separate"/>
      </w:r>
      <w:r w:rsidRPr="00072873" w:rsidR="00D929BE">
        <w:rPr>
          <w:noProof/>
          <w:color w:val="6D6E70" w:themeColor="text2"/>
        </w:rPr>
        <w:t>1</w:t>
      </w:r>
      <w:r w:rsidRPr="00072873" w:rsidR="0079057A">
        <w:rPr>
          <w:noProof/>
          <w:color w:val="6D6E70" w:themeColor="text2"/>
        </w:rPr>
        <w:fldChar w:fldCharType="end"/>
      </w:r>
      <w:r w:rsidRPr="00072873" w:rsidR="00DE6672">
        <w:rPr>
          <w:color w:val="6D6E70" w:themeColor="text2"/>
        </w:rPr>
        <w:t xml:space="preserve">: </w:t>
      </w:r>
      <w:r w:rsidRPr="00072873" w:rsidR="00DE6672">
        <w:rPr>
          <w:b w:val="0"/>
          <w:color w:val="6D6E70" w:themeColor="text2"/>
        </w:rPr>
        <w:t>Organisational structure.</w:t>
      </w:r>
      <w:bookmarkEnd w:id="32"/>
    </w:p>
    <w:p w:rsidRPr="00192EC8" w:rsidR="00192EC8" w:rsidP="00192EC8" w:rsidRDefault="00192EC8" w14:paraId="18E2BA28" w14:textId="77777777"/>
    <w:p w:rsidR="004A6288" w:rsidP="00DB3E4A" w:rsidRDefault="00D929BE" w14:paraId="0E64470C" w14:textId="77777777">
      <w:pPr>
        <w:pStyle w:val="Caption"/>
        <w:jc w:val="center"/>
        <w:rPr>
          <w:b w:val="0"/>
          <w:color w:val="6D6E70" w:themeColor="text2"/>
          <w:lang w:val="en-US" w:bidi="en-US"/>
        </w:rPr>
      </w:pPr>
      <w:bookmarkStart w:name="_Toc300752216" w:id="33"/>
      <w:proofErr w:type="gramStart"/>
      <w:r w:rsidRPr="00072873">
        <w:rPr>
          <w:color w:val="6D6E70" w:themeColor="text2"/>
        </w:rPr>
        <w:t xml:space="preserve">Table </w:t>
      </w:r>
      <w:r w:rsidRPr="00072873" w:rsidR="0079057A">
        <w:rPr>
          <w:color w:val="6D6E70" w:themeColor="text2"/>
        </w:rPr>
        <w:fldChar w:fldCharType="begin"/>
      </w:r>
      <w:r w:rsidRPr="00072873" w:rsidR="0079057A">
        <w:rPr>
          <w:color w:val="6D6E70" w:themeColor="text2"/>
        </w:rPr>
        <w:instrText xml:space="preserve"> SEQ Table \* ARABIC </w:instrText>
      </w:r>
      <w:r w:rsidRPr="00072873" w:rsidR="0079057A">
        <w:rPr>
          <w:color w:val="6D6E70" w:themeColor="text2"/>
        </w:rPr>
        <w:fldChar w:fldCharType="separate"/>
      </w:r>
      <w:r w:rsidRPr="00072873">
        <w:rPr>
          <w:noProof/>
          <w:color w:val="6D6E70" w:themeColor="text2"/>
        </w:rPr>
        <w:t>10</w:t>
      </w:r>
      <w:r w:rsidRPr="00072873" w:rsidR="0079057A">
        <w:rPr>
          <w:noProof/>
          <w:color w:val="6D6E70" w:themeColor="text2"/>
        </w:rPr>
        <w:fldChar w:fldCharType="end"/>
      </w:r>
      <w:r w:rsidRPr="00072873" w:rsidR="00DE6672">
        <w:rPr>
          <w:color w:val="6D6E70" w:themeColor="text2"/>
          <w:lang w:val="en-US" w:bidi="en-US"/>
        </w:rPr>
        <w:t xml:space="preserve">: </w:t>
      </w:r>
      <w:r w:rsidRPr="00072873" w:rsidR="00DE6672">
        <w:rPr>
          <w:b w:val="0"/>
          <w:color w:val="6D6E70" w:themeColor="text2"/>
          <w:lang w:val="en-US" w:bidi="en-US"/>
        </w:rPr>
        <w:t>Brief description of business units in the certifying entity.</w:t>
      </w:r>
      <w:bookmarkEnd w:id="33"/>
      <w:proofErr w:type="gramEnd"/>
      <w:r w:rsidRPr="00DF60B4" w:rsidR="00DF60B4">
        <w:rPr>
          <w:b w:val="0"/>
          <w:color w:val="6D6E70" w:themeColor="text2"/>
          <w:lang w:val="en-US" w:bidi="en-US"/>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Business unit</w:t>
            </w:r>
          </w:p>
        </w:tc>
        <w:tc>
          <w:tcPr>
            <w:shd w:themeFill="text2"/>
            <w:vAlign w:val="top"/>
          </w:tcPr>
          <w:p>
            <w:pPr>
              <w:keepLines/>
              <w:keepNext/>
            </w:pPr>
            <w:r>
              <w:rPr>
                <w:b w:val="true"/>
                <w:color w:themeColor="background1"/>
              </w:rPr>
              <w:t xml:space="preserve">Purpose</w:t>
            </w:r>
          </w:p>
        </w:tc>
      </w:tr>
      <w:tr>
        <w:tc>
          <w:tcPr>
            <w:vAlign w:val="top"/>
          </w:tcPr>
          <w:p>
            <w:pPr>
              <w:keepLines/>
            </w:pPr>
            <w:r>
              <w:rPr/>
              <w:t xml:space="preserve">Water Services</w:t>
            </w:r>
          </w:p>
        </w:tc>
        <w:tc>
          <w:tcPr>
            <w:vAlign w:val="top"/>
          </w:tcPr>
          <w:p>
            <w:pPr>
              <w:keepLines/>
            </w:pPr>
            <w:r>
              <w:rPr/>
              <w:t xml:space="preserve">Purpose: Water supply and treatment Contact: Manager Assests &amp; Operations</w:t>
            </w:r>
          </w:p>
        </w:tc>
      </w:tr>
      <w:tr>
        <w:tc>
          <w:tcPr>
            <w:vAlign w:val="top"/>
          </w:tcPr>
          <w:p>
            <w:pPr>
              <w:keepLines/>
            </w:pPr>
            <w:r>
              <w:rPr/>
              <w:t xml:space="preserve">Waste Water</w:t>
            </w:r>
          </w:p>
        </w:tc>
        <w:tc>
          <w:tcPr>
            <w:vAlign w:val="top"/>
          </w:tcPr>
          <w:p>
            <w:pPr>
              <w:keepLines/>
            </w:pPr>
            <w:r>
              <w:rPr/>
              <w:t xml:space="preserve">Purpose: Treatment and disposal of sewege Contact: Manager Assests &amp; Operations</w:t>
            </w:r>
          </w:p>
        </w:tc>
      </w:tr>
      <w:tr>
        <w:tc>
          <w:tcPr>
            <w:vAlign w:val="top"/>
          </w:tcPr>
          <w:p>
            <w:pPr>
              <w:keepLines/>
            </w:pPr>
            <w:r>
              <w:rPr/>
              <w:t xml:space="preserve">Properties</w:t>
            </w:r>
          </w:p>
        </w:tc>
        <w:tc>
          <w:tcPr>
            <w:vAlign w:val="top"/>
          </w:tcPr>
          <w:p>
            <w:pPr>
              <w:keepLines/>
            </w:pPr>
            <w:r>
              <w:rPr/>
              <w:t xml:space="preserve">Purpose: Manages the majority of council - owned buildings including offices, library, archives and community halls Contact: Manager Community Facilities &amp; Activities</w:t>
            </w:r>
          </w:p>
        </w:tc>
      </w:tr>
      <w:tr>
        <w:tc>
          <w:tcPr>
            <w:vAlign w:val="top"/>
          </w:tcPr>
          <w:p>
            <w:pPr>
              <w:keepLines/>
            </w:pPr>
            <w:r>
              <w:rPr/>
              <w:t xml:space="preserve">General Council</w:t>
            </w:r>
          </w:p>
        </w:tc>
        <w:tc>
          <w:tcPr>
            <w:vAlign w:val="top"/>
          </w:tcPr>
          <w:p>
            <w:pPr>
              <w:keepLines/>
            </w:pPr>
            <w:r>
              <w:rPr/>
              <w:t xml:space="preserve">Purpose: Catch all reporting units for emission sources that are across Council groups and are not linked to a specific site - e.g. business travel in pool cars, business travel in private cars, operational travel in council - owned cars, flights etc. Contact: All Management Groups</w:t>
            </w:r>
          </w:p>
        </w:tc>
      </w:tr>
      <w:tr>
        <w:tc>
          <w:tcPr>
            <w:vAlign w:val="top"/>
          </w:tcPr>
          <w:p>
            <w:pPr>
              <w:keepLines/>
            </w:pPr>
            <w:r>
              <w:rPr/>
              <w:t xml:space="preserve">Roading and water network</w:t>
            </w:r>
          </w:p>
        </w:tc>
        <w:tc>
          <w:tcPr>
            <w:vAlign w:val="top"/>
          </w:tcPr>
          <w:p>
            <w:pPr>
              <w:keepLines/>
            </w:pPr>
            <w:r>
              <w:rPr/>
              <w:t xml:space="preserve">Purpose: Manages maintenance and of local roads, water services network and streetlighting (rural &amp; urban) Contact: Manager Assests &amp; Operations</w:t>
            </w:r>
          </w:p>
        </w:tc>
      </w:tr>
      <w:tr>
        <w:tc>
          <w:tcPr>
            <w:vAlign w:val="top"/>
          </w:tcPr>
          <w:p>
            <w:pPr>
              <w:keepLines/>
            </w:pPr>
            <w:r>
              <w:rPr/>
              <w:t xml:space="preserve">Leisure and Open Space</w:t>
            </w:r>
          </w:p>
        </w:tc>
        <w:tc>
          <w:tcPr>
            <w:vAlign w:val="top"/>
          </w:tcPr>
          <w:p>
            <w:pPr>
              <w:keepLines/>
            </w:pPr>
            <w:r>
              <w:rPr/>
              <w:t xml:space="preserve">Purpose: Manages park, reserves and recreation centre Contact: Manager Community Facilities &amp; Activities</w:t>
            </w:r>
          </w:p>
        </w:tc>
      </w:tr>
    </w:tbl>
    <w:p w:rsidRPr="00DE6672" w:rsidR="00DE6672" w:rsidP="002C1195" w:rsidRDefault="00DE6672" w14:paraId="7A6CFF38" w14:textId="77777777">
      <w:pPr>
        <w:pStyle w:val="BodyText"/>
      </w:pPr>
      <w:r w:rsidRPr="00DE6672">
        <w:tab/>
      </w:r>
    </w:p>
    <w:p w:rsidRPr="00DE6672" w:rsidR="00DE6672" w:rsidP="00A557E1" w:rsidRDefault="00A557E1" w14:paraId="42880E97" w14:textId="0F15393D">
      <w:pPr>
        <w:pStyle w:val="Heading1"/>
      </w:pPr>
      <w:bookmarkStart w:name="_Toc433976124" w:id="34"/>
      <w:r>
        <w:lastRenderedPageBreak/>
        <w:t>5</w:t>
      </w:r>
      <w:r>
        <w:tab/>
      </w:r>
      <w:r w:rsidRPr="00DE6672" w:rsidR="00DE6672">
        <w:t>Organisational business units excluded from inventory</w:t>
      </w:r>
      <w:bookmarkEnd w:id="34"/>
    </w:p>
    <w:p w:rsidR="008A00C4" w:rsidP="008A00C4" w:rsidRDefault="008A00C4" w14:paraId="0301DF5F" w14:textId="77777777">
      <w:pPr>
        <w:spacing w:before="120"/>
      </w:pPr>
      <w:r w:rsidRPr="00D0220F">
        <w:t>Operations (Assets &amp; Operations) - waste management is outside MDC operational control and it is operated by a separate company. </w:t>
      </w:r>
    </w:p>
    <w:p w:rsidR="008A00C4" w:rsidP="008A00C4" w:rsidRDefault="008A00C4" w14:paraId="0301DF5F" w14:textId="77777777">
      <w:pPr>
        <w:spacing w:before="120"/>
      </w:pPr>
      <w:r w:rsidRPr="00D0220F">
        <w:t xml:space="preserve">Properties (Community Facilities &amp; Activities) - Pensioner Housing Electricity has been excluded as all council tenants pay their own power accounts.</w:t>
      </w:r>
    </w:p>
    <w:p w:rsidR="008A00C4" w:rsidP="008A00C4" w:rsidRDefault="008A00C4" w14:paraId="0301DF5F" w14:textId="77777777">
      <w:pPr>
        <w:spacing w:before="120"/>
      </w:pPr>
      <w:r w:rsidRPr="00D0220F">
        <w:t xml:space="preserve">Refrigerants (Community Facilities &amp; Activities) - Service provider look at the air-conditioning system on 4 occasions during this period of time but no leak was detected/ air - conditioning system hasn't been recharged</w:t>
      </w:r>
    </w:p>
    <w:p w:rsidR="008A00C4" w:rsidP="008A00C4" w:rsidRDefault="008A00C4" w14:paraId="0301DF5F" w14:textId="77777777">
      <w:pPr>
        <w:spacing w:before="120"/>
      </w:pPr>
      <w:r w:rsidRPr="00D0220F">
        <w:t xml:space="preserve">Properties (Communities Facilities &amp; Activities) - Genealogical Society building has been excluded as all paid by the tenant.</w:t>
      </w:r>
    </w:p>
    <w:p w:rsidR="008A00C4" w:rsidP="008A00C4" w:rsidRDefault="008A00C4" w14:paraId="0301DF5F" w14:textId="77777777">
      <w:pPr>
        <w:spacing w:before="120"/>
      </w:pPr>
      <w:r w:rsidRPr="00D0220F">
        <w:t xml:space="preserve">Properties (Communities Facilities &amp; Activities) - 18 Manaia Road Homebush Masterton buildings have been excluded as all paid by the tenants.</w:t>
      </w:r>
    </w:p>
    <w:p w:rsidR="008A00C4" w:rsidP="008A00C4" w:rsidRDefault="008A00C4" w14:paraId="0301DF5F" w14:textId="77777777">
      <w:pPr>
        <w:spacing w:before="120"/>
      </w:pPr>
      <w:r w:rsidRPr="00D0220F">
        <w:t xml:space="preserve">Operations (Assets &amp; Operations) - Waste management is outside MDC operational control and it is operated by a separate company.</w:t>
      </w:r>
    </w:p>
    <w:p w:rsidRPr="00423360" w:rsidR="00B35836" w:rsidP="00DA5917" w:rsidRDefault="00B35836" w14:paraId="2CC857F5" w14:textId="77777777">
      <w:pPr>
        <w:spacing w:before="120"/>
        <w:jc w:val="center"/>
        <w:rPr>
          <w:color w:val="000000" w:themeColor="text1"/>
          <w:lang w:bidi="en-US"/>
        </w:rPr>
      </w:pPr>
    </w:p>
    <w:p w:rsidRPr="00DE6672" w:rsidR="00DE6672" w:rsidP="00A557E1" w:rsidRDefault="00A557E1" w14:paraId="556A9E49" w14:textId="3C418239">
      <w:pPr>
        <w:pStyle w:val="Heading1"/>
      </w:pPr>
      <w:bookmarkStart w:name="_Toc433976125" w:id="35"/>
      <w:r>
        <w:t>6</w:t>
      </w:r>
      <w:r>
        <w:tab/>
      </w:r>
      <w:r w:rsidRPr="00DE6672" w:rsidR="00DE6672">
        <w:t>GHG emissions source inclusions</w:t>
      </w:r>
      <w:bookmarkEnd w:id="35"/>
    </w:p>
    <w:p w:rsidRPr="008D59F1" w:rsidR="00DE6672" w:rsidP="002C1195" w:rsidRDefault="00DE6672" w14:paraId="242B2A31" w14:textId="2ED83733">
      <w:pPr>
        <w:pStyle w:val="BodyText"/>
        <w:rPr>
          <w:szCs w:val="20"/>
        </w:rPr>
      </w:pPr>
      <w:r w:rsidRPr="008D59F1">
        <w:rPr>
          <w:szCs w:val="20"/>
        </w:rPr>
        <w:t xml:space="preserve">The GHG emissions sources included in this inventory are those required for Programme certification and were identified with reference to the methodology described in the GHG Protocol and ISO14064-1:2006 standards. Identification of emissions sources was achieved via personal communications with Masterton District Council staff, and cross-checked against operational expenditure records for the reporting period. These records were viewed in order to see what activities may be associated with emissions from all of the operations.</w:t>
      </w:r>
      <w:r w:rsidRPr="00524AB2" w:rsidR="004E6B83">
        <w:t/>
      </w:r>
      <w:r w:rsidRPr="008D59F1">
        <w:rPr>
          <w:szCs w:val="20"/>
        </w:rPr>
        <w:t xml:space="preserve"/>
      </w:r>
      <w:proofErr w:type="gramStart"/>
      <w:r w:rsidRPr="008D59F1">
        <w:rPr>
          <w:szCs w:val="20"/>
        </w:rPr>
        <w:t/>
      </w:r>
      <w:proofErr w:type="gramEnd"/>
      <w:r w:rsidRPr="008D59F1">
        <w:rPr>
          <w:szCs w:val="20"/>
        </w:rPr>
        <w:t xml:space="preserve"/>
      </w:r>
    </w:p>
    <w:p w:rsidRPr="008D59F1" w:rsidR="00DE6672" w:rsidP="002C1195" w:rsidRDefault="00DE6672" w14:paraId="26FE566B" w14:textId="77777777">
      <w:pPr>
        <w:pStyle w:val="BodyText"/>
        <w:rPr>
          <w:szCs w:val="20"/>
        </w:rPr>
      </w:pPr>
      <w:r w:rsidRPr="008D59F1">
        <w:rPr>
          <w:szCs w:val="20"/>
        </w:rPr>
        <w:t>As adapted from the GHG Protocol, these emissions were classified into the following categories:</w:t>
      </w:r>
    </w:p>
    <w:p w:rsidRPr="008D59F1" w:rsidR="00DE6672" w:rsidP="008D59F1" w:rsidRDefault="00DE6672" w14:paraId="06461EB1" w14:textId="77777777">
      <w:pPr>
        <w:pStyle w:val="BodyText"/>
        <w:numPr>
          <w:ilvl w:val="0"/>
          <w:numId w:val="45"/>
        </w:numPr>
        <w:rPr>
          <w:szCs w:val="20"/>
        </w:rPr>
      </w:pPr>
      <w:r w:rsidRPr="008D59F1">
        <w:rPr>
          <w:b/>
          <w:szCs w:val="20"/>
        </w:rPr>
        <w:t>Direct GHG emissions (Scope 1):</w:t>
      </w:r>
      <w:r w:rsidRPr="008D59F1">
        <w:rPr>
          <w:szCs w:val="20"/>
        </w:rPr>
        <w:t xml:space="preserve"> GHG emissions from sources that are owned or controlled by the company.</w:t>
      </w:r>
    </w:p>
    <w:p w:rsidRPr="008D59F1" w:rsidR="00DE6672" w:rsidP="008D59F1" w:rsidRDefault="00DE6672" w14:paraId="4B141B48" w14:textId="77777777">
      <w:pPr>
        <w:pStyle w:val="BodyText"/>
        <w:numPr>
          <w:ilvl w:val="0"/>
          <w:numId w:val="45"/>
        </w:numPr>
        <w:rPr>
          <w:szCs w:val="20"/>
        </w:rPr>
      </w:pPr>
      <w:r w:rsidRPr="008D59F1">
        <w:rPr>
          <w:b/>
          <w:szCs w:val="20"/>
        </w:rPr>
        <w:t>Indirect GHG emissions (Scope 2):</w:t>
      </w:r>
      <w:r w:rsidRPr="008D59F1">
        <w:rPr>
          <w:szCs w:val="20"/>
        </w:rPr>
        <w:t xml:space="preserve"> GHG emissions from the generation of purchased electricity, heat and steam consumed by the company.</w:t>
      </w:r>
    </w:p>
    <w:p w:rsidRPr="008D59F1" w:rsidR="00DE6672" w:rsidP="008D59F1" w:rsidRDefault="00DE6672" w14:paraId="5D676EB9" w14:textId="77777777">
      <w:pPr>
        <w:pStyle w:val="BodyText"/>
        <w:numPr>
          <w:ilvl w:val="0"/>
          <w:numId w:val="45"/>
        </w:numPr>
        <w:rPr>
          <w:szCs w:val="20"/>
        </w:rPr>
      </w:pPr>
      <w:r w:rsidRPr="008D59F1">
        <w:rPr>
          <w:b/>
          <w:szCs w:val="20"/>
        </w:rPr>
        <w:t>Indirect GHG emissions (Scope 3):</w:t>
      </w:r>
      <w:r w:rsidRPr="008D59F1">
        <w:rPr>
          <w:szCs w:val="20"/>
        </w:rPr>
        <w:t xml:space="preserve"> GHG emissions required by the Programme that occur as a consequence of the activities of the company but occur from sources not owned or controlled by the company. Inclusion of other Scope 3 emissions sources is done on a case-by-case basis.</w:t>
      </w:r>
    </w:p>
    <w:p w:rsidRPr="008D59F1" w:rsidR="00DE6672" w:rsidP="002C1195" w:rsidRDefault="00DE6672" w14:paraId="45878652" w14:textId="77777777">
      <w:pPr>
        <w:pStyle w:val="BodyText"/>
        <w:rPr>
          <w:szCs w:val="20"/>
        </w:rPr>
      </w:pPr>
      <w:r w:rsidRPr="008D59F1">
        <w:rPr>
          <w:szCs w:val="20"/>
        </w:rPr>
        <w:t>After liaison with the organisation, the emissions sources in Table 11 have been identified and included in the GHG emissions inventory.</w:t>
      </w:r>
    </w:p>
    <w:p w:rsidR="00016478" w:rsidP="0070444A" w:rsidRDefault="0070444A" w14:paraId="00613803" w14:textId="39F5D7FC">
      <w:pPr>
        <w:jc w:val="left"/>
      </w:pPr>
      <w:r w:rsidRPr="0070444A">
        <w:t>The UK Water Industry Research (UKWIR) has produced a spreadsheet based standardised approach for estimating greenhouse gas emissions from operations of water and wastewater industry facilities which has been used to calculate the wastewater emissions. The approach was developed in accordance with both United Kingdom Department of Environment Food and Rural Affairs (Defra) Guidelines and Carbon Reporting Commitment (CRC) requirements. The inputs for the calculation are total population and wastewater flow into the system. This method is currently used by other councils in the CEMARS programme.</w:t>
      </w:r>
    </w:p>
    <w:p w:rsidR="00016478" w:rsidP="0070444A" w:rsidRDefault="00016478" w14:paraId="276BA9ED" w14:textId="77777777">
      <w:pPr>
        <w:jc w:val="left"/>
      </w:pPr>
    </w:p>
    <w:p w:rsidRPr="0070444A" w:rsidR="00016478" w:rsidP="0070444A" w:rsidRDefault="00016478" w14:paraId="6862B898" w14:textId="77777777">
      <w:pPr>
        <w:jc w:val="left"/>
        <w:sectPr w:rsidRPr="0070444A" w:rsidR="00016478" w:rsidSect="00C13176">
          <w:type w:val="continuous"/>
          <w:pgSz w:w="11906" w:h="16838" w:code="9"/>
          <w:pgMar w:top="1418" w:right="1134" w:bottom="1134" w:left="1134" w:header="709" w:footer="709" w:gutter="0"/>
          <w:cols w:space="708"/>
          <w:docGrid w:linePitch="360"/>
        </w:sectPr>
      </w:pPr>
    </w:p>
    <w:p w:rsidR="004A6288" w:rsidP="00943754" w:rsidRDefault="00D929BE" w14:paraId="17A549D0" w14:textId="77777777">
      <w:pPr>
        <w:pStyle w:val="Caption"/>
        <w:jc w:val="center"/>
        <w:rPr>
          <w:b w:val="0"/>
          <w:color w:val="6D6E70" w:themeColor="text2"/>
        </w:rPr>
      </w:pPr>
      <w:bookmarkStart w:name="_Toc300752217" w:id="36"/>
      <w:proofErr w:type="gramStart"/>
      <w:r w:rsidRPr="00943754">
        <w:rPr>
          <w:color w:val="6D6E70" w:themeColor="text2"/>
        </w:rPr>
        <w:lastRenderedPageBreak/>
        <w:t xml:space="preserve">Table </w:t>
      </w:r>
      <w:r w:rsidRPr="00943754">
        <w:rPr>
          <w:color w:val="6D6E70" w:themeColor="text2"/>
        </w:rPr>
        <w:fldChar w:fldCharType="begin"/>
      </w:r>
      <w:r w:rsidRPr="00943754">
        <w:rPr>
          <w:color w:val="6D6E70" w:themeColor="text2"/>
        </w:rPr>
        <w:instrText xml:space="preserve"> SEQ Table \* ARABIC </w:instrText>
      </w:r>
      <w:r w:rsidRPr="00943754">
        <w:rPr>
          <w:color w:val="6D6E70" w:themeColor="text2"/>
        </w:rPr>
        <w:fldChar w:fldCharType="separate"/>
      </w:r>
      <w:r w:rsidRPr="00943754">
        <w:rPr>
          <w:noProof/>
          <w:color w:val="6D6E70" w:themeColor="text2"/>
        </w:rPr>
        <w:t>11</w:t>
      </w:r>
      <w:r w:rsidRPr="00943754">
        <w:rPr>
          <w:color w:val="6D6E70" w:themeColor="text2"/>
        </w:rPr>
        <w:fldChar w:fldCharType="end"/>
      </w:r>
      <w:r w:rsidRPr="00943754" w:rsidR="00DE6672">
        <w:rPr>
          <w:color w:val="6D6E70" w:themeColor="text2"/>
        </w:rPr>
        <w:t xml:space="preserve">: </w:t>
      </w:r>
      <w:r w:rsidRPr="00943754" w:rsidR="00DE6672">
        <w:rPr>
          <w:b w:val="0"/>
          <w:color w:val="6D6E70" w:themeColor="text2"/>
        </w:rPr>
        <w:t>GHG emissions sources included in the inventory.</w:t>
      </w:r>
      <w:bookmarkEnd w:id="36"/>
      <w:proofErr w:type="gramEnd"/>
      <w:r w:rsidRPr="00943754" w:rsidR="00943754">
        <w:rPr>
          <w:b w:val="0"/>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Business Unit</w:t>
            </w:r>
          </w:p>
        </w:tc>
        <w:tc>
          <w:tcPr>
            <w:shd w:themeFill="text2"/>
            <w:vAlign w:val="top"/>
          </w:tcPr>
          <w:p>
            <w:pPr>
              <w:keepLines/>
              <w:keepNext/>
            </w:pPr>
            <w:r>
              <w:rPr>
                <w:b w:val="true"/>
                <w:color w:themeColor="background1"/>
              </w:rPr>
              <w:t xml:space="preserve">SCOPE</w:t>
            </w:r>
          </w:p>
        </w:tc>
        <w:tc>
          <w:tcPr>
            <w:shd w:themeFill="text2"/>
            <w:vAlign w:val="top"/>
          </w:tcPr>
          <w:p>
            <w:pPr>
              <w:keepLines/>
              <w:keepNext/>
            </w:pPr>
            <w:r>
              <w:rPr>
                <w:b w:val="true"/>
                <w:color w:themeColor="background1"/>
              </w:rPr>
              <w:t xml:space="preserve">GHG Emission source</w:t>
            </w:r>
          </w:p>
        </w:tc>
        <w:tc>
          <w:tcPr>
            <w:shd w:themeFill="text2"/>
            <w:vAlign w:val="top"/>
          </w:tcPr>
          <w:p>
            <w:pPr>
              <w:keepLines/>
              <w:keepNext/>
            </w:pPr>
            <w:r>
              <w:rPr>
                <w:b w:val="true"/>
                <w:color w:themeColor="background1"/>
              </w:rPr>
              <w:t xml:space="preserve">Data collection unit</w:t>
            </w:r>
          </w:p>
        </w:tc>
        <w:tc>
          <w:tcPr>
            <w:shd w:themeFill="text2"/>
            <w:vAlign w:val="top"/>
          </w:tcPr>
          <w:p>
            <w:pPr>
              <w:keepLines/>
              <w:keepNext/>
            </w:pPr>
            <w:r>
              <w:rPr>
                <w:b w:val="true"/>
                <w:color w:themeColor="background1"/>
              </w:rPr>
              <w:t xml:space="preserve">Data source</w:t>
            </w:r>
          </w:p>
        </w:tc>
        <w:tc>
          <w:tcPr>
            <w:shd w:themeFill="text2"/>
            <w:vAlign w:val="top"/>
          </w:tcPr>
          <w:p>
            <w:pPr>
              <w:keepLines/>
              <w:keepNext/>
            </w:pPr>
            <w:r>
              <w:rPr>
                <w:b w:val="true"/>
                <w:color w:themeColor="background1"/>
              </w:rPr>
              <w:t xml:space="preserve">Council departments</w:t>
            </w:r>
          </w:p>
        </w:tc>
        <w:tc>
          <w:tcPr>
            <w:shd w:themeFill="text2"/>
            <w:vAlign w:val="top"/>
          </w:tcPr>
          <w:p>
            <w:pPr>
              <w:keepLines/>
              <w:keepNext/>
            </w:pPr>
            <w:r>
              <w:rPr>
                <w:b w:val="true"/>
                <w:color w:themeColor="background1"/>
              </w:rPr>
              <w:t xml:space="preserve">Location</w:t>
            </w:r>
          </w:p>
        </w:tc>
        <w:tc>
          <w:tcPr>
            <w:shd w:themeFill="text2"/>
            <w:vAlign w:val="top"/>
          </w:tcPr>
          <w:p>
            <w:pPr>
              <w:keepLines/>
              <w:keepNext/>
            </w:pPr>
            <w:r>
              <w:rPr>
                <w:b w:val="true"/>
                <w:color w:themeColor="background1"/>
              </w:rPr>
              <w:t xml:space="preserve">Uncertainty</w:t>
            </w:r>
          </w:p>
        </w:tc>
      </w:tr>
      <w:tr>
        <w:tc>
          <w:tcPr>
            <w:vAlign w:val="top"/>
          </w:tcPr>
          <w:p>
            <w:pPr>
              <w:keepLines/>
            </w:pPr>
            <w:r>
              <w:rPr/>
              <w:t xml:space="preserve">Water Services (Assets &amp; 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 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Water supply</w:t>
            </w:r>
          </w:p>
        </w:tc>
        <w:tc>
          <w:tcPr>
            <w:vAlign w:val="top"/>
          </w:tcPr>
          <w:p>
            <w:pPr>
              <w:keepLines/>
            </w:pPr>
            <w:r>
              <w:rPr/>
              <w:t xml:space="preserve">Low - Meter Data</w:t>
            </w:r>
          </w:p>
        </w:tc>
      </w:tr>
      <w:tr>
        <w:tc>
          <w:tcPr>
            <w:vAlign w:val="top"/>
          </w:tcPr>
          <w:p>
            <w:pPr>
              <w:keepLines/>
            </w:pPr>
            <w:r>
              <w:rPr/>
              <w:t xml:space="preserve">Waste Water (Assets &amp; 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Wastewater treatment and stormwater management 379 TE WHITI ROAD (HOMEBUSH)</w:t>
            </w:r>
          </w:p>
        </w:tc>
        <w:tc>
          <w:tcPr>
            <w:vAlign w:val="top"/>
          </w:tcPr>
          <w:p>
            <w:pPr>
              <w:keepLines/>
            </w:pPr>
            <w:r>
              <w:rPr/>
              <w:t xml:space="preserve">Low - Meter Data</w:t>
            </w:r>
          </w:p>
        </w:tc>
      </w:tr>
      <w:tr>
        <w:tc>
          <w:tcPr>
            <w:vAlign w:val="top"/>
          </w:tcPr>
          <w:p>
            <w:pPr>
              <w:keepLines/>
            </w:pPr>
            <w:r>
              <w:rPr/>
              <w:t xml:space="preserve">Waste Water (Assets &amp; 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Waste Water Treatment Plant at CASTLEPOINT</w:t>
            </w:r>
          </w:p>
        </w:tc>
        <w:tc>
          <w:tcPr>
            <w:vAlign w:val="top"/>
          </w:tcPr>
          <w:p>
            <w:pPr>
              <w:keepLines/>
            </w:pPr>
            <w:r>
              <w:rPr/>
              <w:t xml:space="preserve">Low - Meter Data</w:t>
            </w:r>
          </w:p>
        </w:tc>
      </w:tr>
      <w:tr>
        <w:tc>
          <w:tcPr>
            <w:vAlign w:val="top"/>
          </w:tcPr>
          <w:p>
            <w:pPr>
              <w:keepLines/>
            </w:pPr>
            <w:r>
              <w:rPr/>
              <w:t xml:space="preserve">Waste Water (Assets &amp; 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Waste Water Treatment Plant at RIVERSDALE</w:t>
            </w:r>
          </w:p>
        </w:tc>
        <w:tc>
          <w:tcPr>
            <w:vAlign w:val="top"/>
          </w:tcPr>
          <w:p>
            <w:pPr>
              <w:keepLines/>
            </w:pPr>
            <w:r>
              <w:rPr/>
              <w:t xml:space="preserve">Low - Meter Data</w:t>
            </w:r>
          </w:p>
        </w:tc>
      </w:tr>
      <w:tr>
        <w:tc>
          <w:tcPr>
            <w:vAlign w:val="top"/>
          </w:tcPr>
          <w:p>
            <w:pPr>
              <w:keepLines/>
            </w:pPr>
            <w:r>
              <w:rPr/>
              <w:t xml:space="preserve">Waste Water (Assets &amp; 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Tinui Sewerage  Blackhill Road  TINUI</w:t>
            </w:r>
          </w:p>
        </w:tc>
        <w:tc>
          <w:tcPr>
            <w:vAlign w:val="top"/>
          </w:tcPr>
          <w:p>
            <w:pPr>
              <w:keepLines/>
            </w:pPr>
            <w:r>
              <w:rPr/>
              <w:t xml:space="preserve">Low - Meter Data</w:t>
            </w:r>
          </w:p>
        </w:tc>
      </w:tr>
      <w:tr>
        <w:tc>
          <w:tcPr>
            <w:vAlign w:val="top"/>
          </w:tcPr>
          <w:p>
            <w:pPr>
              <w:keepLines/>
            </w:pPr>
            <w:r>
              <w:rPr/>
              <w:t xml:space="preserve">Waste Water (Assets &amp; Operations)</w:t>
            </w:r>
          </w:p>
        </w:tc>
        <w:tc>
          <w:tcPr>
            <w:vAlign w:val="top"/>
          </w:tcPr>
          <w:p>
            <w:pPr>
              <w:keepLines/>
            </w:pPr>
            <w:r>
              <w:rPr/>
              <w:t xml:space="preserve">SCOPE 1</w:t>
            </w:r>
          </w:p>
        </w:tc>
        <w:tc>
          <w:tcPr>
            <w:vAlign w:val="top"/>
          </w:tcPr>
          <w:p>
            <w:pPr>
              <w:keepLines/>
            </w:pPr>
            <w:r>
              <w:rPr/>
              <w:t xml:space="preserve">Wastewater</w:t>
            </w:r>
          </w:p>
        </w:tc>
        <w:tc>
          <w:tcPr>
            <w:vAlign w:val="top"/>
          </w:tcPr>
          <w:p>
            <w:pPr>
              <w:keepLines/>
            </w:pPr>
            <w:r>
              <w:rPr/>
              <w:t xml:space="preserve">litres/</w:t>
            </w:r>
            <w:r>
              <w:rPr/>
              <w:rPr>
                <w:vertAlign w:val="baseline"/>
              </w:rPr>
              <w:t xml:space="preserve">m</w:t>
            </w:r>
            <w:r>
              <w:rPr/>
              <w:rPr>
                <w:vertAlign w:val="superscript"/>
              </w:rPr>
              <w:t xml:space="preserve">3</w:t>
            </w:r>
            <w:r>
              <w:rPr/>
              <w:t xml:space="preserve"/>
            </w:r>
          </w:p>
        </w:tc>
        <w:tc>
          <w:tcPr>
            <w:vAlign w:val="top"/>
          </w:tcPr>
          <w:p>
            <w:pPr>
              <w:keepLines/>
            </w:pPr>
            <w:r>
              <w:rPr/>
              <w:t xml:space="preserve">Data recording system - SCADA</w:t>
            </w:r>
          </w:p>
        </w:tc>
        <w:tc>
          <w:tcPr>
            <w:vAlign w:val="top"/>
          </w:tcPr>
          <w:p>
            <w:pPr>
              <w:keepLines/>
            </w:pPr>
            <w:r>
              <w:rPr/>
              <w:t xml:space="preserve">Asset &amp; Operations</w:t>
            </w:r>
          </w:p>
        </w:tc>
        <w:tc>
          <w:tcPr>
            <w:vAlign w:val="top"/>
          </w:tcPr>
          <w:p>
            <w:pPr>
              <w:keepLines/>
            </w:pPr>
            <w:r>
              <w:rPr/>
              <w:t xml:space="preserve">Wastewater treatment and stormwater management HOMEBUSH</w:t>
            </w:r>
          </w:p>
        </w:tc>
        <w:tc>
          <w:tcPr>
            <w:vAlign w:val="top"/>
          </w:tcPr>
          <w:p>
            <w:pPr>
              <w:keepLines/>
            </w:pPr>
            <w:r>
              <w:rPr/>
              <w:t xml:space="preserve">Low - SCADA data recording system</w:t>
            </w:r>
          </w:p>
        </w:tc>
      </w:tr>
      <w:tr>
        <w:tc>
          <w:tcPr>
            <w:vAlign w:val="top"/>
          </w:tcPr>
          <w:p>
            <w:pPr>
              <w:keepLines/>
            </w:pPr>
            <w:r>
              <w:rPr/>
              <w:t xml:space="preserve">Waste Water (Assets &amp; Operations)</w:t>
            </w:r>
          </w:p>
        </w:tc>
        <w:tc>
          <w:tcPr>
            <w:vAlign w:val="top"/>
          </w:tcPr>
          <w:p>
            <w:pPr>
              <w:keepLines/>
            </w:pPr>
            <w:r>
              <w:rPr/>
              <w:t xml:space="preserve">SCOPE 1</w:t>
            </w:r>
          </w:p>
        </w:tc>
        <w:tc>
          <w:tcPr>
            <w:vAlign w:val="top"/>
          </w:tcPr>
          <w:p>
            <w:pPr>
              <w:keepLines/>
            </w:pPr>
            <w:r>
              <w:rPr/>
              <w:t xml:space="preserve">Wastewater</w:t>
            </w:r>
          </w:p>
        </w:tc>
        <w:tc>
          <w:tcPr>
            <w:vAlign w:val="top"/>
          </w:tcPr>
          <w:p>
            <w:pPr>
              <w:keepLines/>
            </w:pPr>
            <w:r>
              <w:rPr/>
              <w:t xml:space="preserve">litres/</w:t>
            </w:r>
            <w:r>
              <w:rPr/>
              <w:rPr>
                <w:vertAlign w:val="baseline"/>
              </w:rPr>
              <w:t xml:space="preserve">m</w:t>
            </w:r>
            <w:r>
              <w:rPr/>
              <w:rPr>
                <w:vertAlign w:val="superscript"/>
              </w:rPr>
              <w:t xml:space="preserve">3</w:t>
            </w:r>
            <w:r>
              <w:rPr/>
              <w:t xml:space="preserve"/>
            </w:r>
          </w:p>
        </w:tc>
        <w:tc>
          <w:tcPr>
            <w:vAlign w:val="top"/>
          </w:tcPr>
          <w:p>
            <w:pPr>
              <w:keepLines/>
            </w:pPr>
            <w:r>
              <w:rPr/>
              <w:t xml:space="preserve">Data recording system - SCADA</w:t>
            </w:r>
          </w:p>
        </w:tc>
        <w:tc>
          <w:tcPr>
            <w:vAlign w:val="top"/>
          </w:tcPr>
          <w:p>
            <w:pPr>
              <w:keepLines/>
            </w:pPr>
            <w:r>
              <w:rPr/>
              <w:t xml:space="preserve">Asset &amp; Operations</w:t>
            </w:r>
          </w:p>
        </w:tc>
        <w:tc>
          <w:tcPr>
            <w:vAlign w:val="top"/>
          </w:tcPr>
          <w:p>
            <w:pPr>
              <w:keepLines/>
            </w:pPr>
            <w:r>
              <w:rPr/>
              <w:t xml:space="preserve">Wastewater treatment and stormwater management RIVERSDALE</w:t>
            </w:r>
          </w:p>
        </w:tc>
        <w:tc>
          <w:tcPr>
            <w:vAlign w:val="top"/>
          </w:tcPr>
          <w:p>
            <w:pPr>
              <w:keepLines/>
            </w:pPr>
            <w:r>
              <w:rPr/>
              <w:t xml:space="preserve">Low - SCADA data recording system</w:t>
            </w:r>
          </w:p>
        </w:tc>
      </w:tr>
      <w:tr>
        <w:tc>
          <w:tcPr>
            <w:vAlign w:val="top"/>
          </w:tcPr>
          <w:p>
            <w:pPr>
              <w:keepLines/>
            </w:pPr>
            <w:r>
              <w:rPr/>
              <w:t xml:space="preserve">Waste Water (Assets &amp; Operations)</w:t>
            </w:r>
          </w:p>
        </w:tc>
        <w:tc>
          <w:tcPr>
            <w:vAlign w:val="top"/>
          </w:tcPr>
          <w:p>
            <w:pPr>
              <w:keepLines/>
            </w:pPr>
            <w:r>
              <w:rPr/>
              <w:t xml:space="preserve">SCOPE 1</w:t>
            </w:r>
          </w:p>
        </w:tc>
        <w:tc>
          <w:tcPr>
            <w:vAlign w:val="top"/>
          </w:tcPr>
          <w:p>
            <w:pPr>
              <w:keepLines/>
            </w:pPr>
            <w:r>
              <w:rPr/>
              <w:t xml:space="preserve">Wastewater</w:t>
            </w:r>
          </w:p>
        </w:tc>
        <w:tc>
          <w:tcPr>
            <w:vAlign w:val="top"/>
          </w:tcPr>
          <w:p>
            <w:pPr>
              <w:keepLines/>
            </w:pPr>
            <w:r>
              <w:rPr/>
              <w:t xml:space="preserve">litres/</w:t>
            </w:r>
            <w:r>
              <w:rPr/>
              <w:rPr>
                <w:vertAlign w:val="baseline"/>
              </w:rPr>
              <w:t xml:space="preserve">m</w:t>
            </w:r>
            <w:r>
              <w:rPr/>
              <w:rPr>
                <w:vertAlign w:val="superscript"/>
              </w:rPr>
              <w:t xml:space="preserve">3</w:t>
            </w:r>
            <w:r>
              <w:rPr/>
              <w:t xml:space="preserve"/>
            </w:r>
          </w:p>
        </w:tc>
        <w:tc>
          <w:tcPr>
            <w:vAlign w:val="top"/>
          </w:tcPr>
          <w:p>
            <w:pPr>
              <w:keepLines/>
            </w:pPr>
            <w:r>
              <w:rPr/>
              <w:t xml:space="preserve">Data recording system - SCADA</w:t>
            </w:r>
          </w:p>
        </w:tc>
        <w:tc>
          <w:tcPr>
            <w:vAlign w:val="top"/>
          </w:tcPr>
          <w:p>
            <w:pPr>
              <w:keepLines/>
            </w:pPr>
            <w:r>
              <w:rPr/>
              <w:t xml:space="preserve">Asset &amp; Operations</w:t>
            </w:r>
          </w:p>
        </w:tc>
        <w:tc>
          <w:tcPr>
            <w:vAlign w:val="top"/>
          </w:tcPr>
          <w:p>
            <w:pPr>
              <w:keepLines/>
            </w:pPr>
            <w:r>
              <w:rPr/>
              <w:t xml:space="preserve">Wastewater treatment and stormwater management CASTLEPOINT</w:t>
            </w:r>
          </w:p>
        </w:tc>
        <w:tc>
          <w:tcPr>
            <w:vAlign w:val="top"/>
          </w:tcPr>
          <w:p>
            <w:pPr>
              <w:keepLines/>
            </w:pPr>
            <w:r>
              <w:rPr/>
              <w:t xml:space="preserve">Low - SCADA data recording system</w:t>
            </w:r>
          </w:p>
        </w:tc>
      </w:tr>
      <w:tr>
        <w:tc>
          <w:tcPr>
            <w:vAlign w:val="top"/>
          </w:tcPr>
          <w:p>
            <w:pPr>
              <w:keepLines/>
            </w:pPr>
            <w:r>
              <w:rPr/>
              <w:t xml:space="preserve">Waste Water (Assets &amp; Operations)</w:t>
            </w:r>
          </w:p>
        </w:tc>
        <w:tc>
          <w:tcPr>
            <w:vAlign w:val="top"/>
          </w:tcPr>
          <w:p>
            <w:pPr>
              <w:keepLines/>
            </w:pPr>
            <w:r>
              <w:rPr/>
              <w:t xml:space="preserve">SCOPE 1</w:t>
            </w:r>
          </w:p>
        </w:tc>
        <w:tc>
          <w:tcPr>
            <w:vAlign w:val="top"/>
          </w:tcPr>
          <w:p>
            <w:pPr>
              <w:keepLines/>
            </w:pPr>
            <w:r>
              <w:rPr/>
              <w:t xml:space="preserve">Wastewater</w:t>
            </w:r>
          </w:p>
        </w:tc>
        <w:tc>
          <w:tcPr>
            <w:vAlign w:val="top"/>
          </w:tcPr>
          <w:p>
            <w:pPr>
              <w:keepLines/>
            </w:pPr>
            <w:r>
              <w:rPr/>
              <w:t xml:space="preserve">litres/</w:t>
            </w:r>
            <w:r>
              <w:rPr/>
              <w:rPr>
                <w:vertAlign w:val="baseline"/>
              </w:rPr>
              <w:t xml:space="preserve">m</w:t>
            </w:r>
            <w:r>
              <w:rPr/>
              <w:rPr>
                <w:vertAlign w:val="superscript"/>
              </w:rPr>
              <w:t xml:space="preserve">3</w:t>
            </w:r>
            <w:r>
              <w:rPr/>
              <w:t xml:space="preserve"/>
            </w:r>
          </w:p>
        </w:tc>
        <w:tc>
          <w:tcPr>
            <w:vAlign w:val="top"/>
          </w:tcPr>
          <w:p>
            <w:pPr>
              <w:keepLines/>
            </w:pPr>
            <w:r>
              <w:rPr/>
              <w:t xml:space="preserve">Data recording system - SCADA</w:t>
            </w:r>
          </w:p>
        </w:tc>
        <w:tc>
          <w:tcPr>
            <w:vAlign w:val="top"/>
          </w:tcPr>
          <w:p>
            <w:pPr>
              <w:keepLines/>
            </w:pPr>
            <w:r>
              <w:rPr/>
              <w:t xml:space="preserve">Asset &amp; Operations</w:t>
            </w:r>
          </w:p>
        </w:tc>
        <w:tc>
          <w:tcPr>
            <w:vAlign w:val="top"/>
          </w:tcPr>
          <w:p>
            <w:pPr>
              <w:keepLines/>
            </w:pPr>
            <w:r>
              <w:rPr/>
              <w:t xml:space="preserve">Wastewater treatment and stormwater management TINUI</w:t>
            </w:r>
          </w:p>
        </w:tc>
        <w:tc>
          <w:tcPr>
            <w:vAlign w:val="top"/>
          </w:tcPr>
          <w:p>
            <w:pPr>
              <w:keepLines/>
            </w:pPr>
            <w:r>
              <w:rPr/>
              <w:t xml:space="preserve">Low - SCADA data recording system</w:t>
            </w:r>
          </w:p>
        </w:tc>
      </w:tr>
      <w:tr>
        <w:tc>
          <w:tcPr>
            <w:vAlign w:val="top"/>
          </w:tcPr>
          <w:p>
            <w:pPr>
              <w:keepLines/>
            </w:pPr>
            <w:r>
              <w:rPr/>
              <w:t xml:space="preserve">General Council (All Management Groups)</w:t>
            </w:r>
          </w:p>
        </w:tc>
        <w:tc>
          <w:tcPr>
            <w:vAlign w:val="top"/>
          </w:tcPr>
          <w:p>
            <w:pPr>
              <w:keepLines/>
            </w:pPr>
            <w:r>
              <w:rPr/>
              <w:t xml:space="preserve">SCOPE 1</w:t>
            </w:r>
          </w:p>
        </w:tc>
        <w:tc>
          <w:tcPr>
            <w:vAlign w:val="top"/>
          </w:tcPr>
          <w:p>
            <w:pPr>
              <w:keepLines/>
            </w:pPr>
            <w:r>
              <w:rPr/>
              <w:t xml:space="preserve">Operations</w:t>
            </w:r>
          </w:p>
        </w:tc>
        <w:tc>
          <w:tcPr>
            <w:vAlign w:val="top"/>
          </w:tcPr>
          <w:p>
            <w:pPr>
              <w:keepLines/>
            </w:pPr>
            <w:r>
              <w:rPr/>
              <w:t xml:space="preserve">Kilometres</w:t>
            </w:r>
          </w:p>
        </w:tc>
        <w:tc>
          <w:tcPr>
            <w:vAlign w:val="top"/>
          </w:tcPr>
          <w:p>
            <w:pPr>
              <w:keepLines/>
            </w:pPr>
            <w:r>
              <w:rPr/>
              <w:t xml:space="preserve">invoice data/Finance Team</w:t>
            </w:r>
          </w:p>
        </w:tc>
        <w:tc>
          <w:tcPr>
            <w:vAlign w:val="top"/>
          </w:tcPr>
          <w:p>
            <w:pPr>
              <w:keepLines/>
            </w:pPr>
            <w:r>
              <w:rPr/>
              <w:t xml:space="preserve">Asset &amp; Operations; Strategic Planning</w:t>
            </w:r>
          </w:p>
        </w:tc>
        <w:tc>
          <w:tcPr>
            <w:vAlign w:val="top"/>
          </w:tcPr>
          <w:p>
            <w:pPr>
              <w:keepLines/>
            </w:pPr>
            <w:r>
              <w:rPr/>
              <w:t xml:space="preserve">Operations - Dog Control Vehicles</w:t>
            </w:r>
          </w:p>
        </w:tc>
        <w:tc>
          <w:tcPr>
            <w:vAlign w:val="top"/>
          </w:tcPr>
          <w:p>
            <w:pPr>
              <w:keepLines/>
            </w:pPr>
            <w:r>
              <w:rPr/>
              <w:t xml:space="preserve">Low /Modarate - it assumed that data source is an appropriate representation of acitvities.</w:t>
            </w:r>
          </w:p>
        </w:tc>
      </w:tr>
      <w:tr>
        <w:tc>
          <w:tcPr>
            <w:vAlign w:val="top"/>
          </w:tcPr>
          <w:p>
            <w:pPr>
              <w:keepLines/>
            </w:pPr>
            <w:r>
              <w:rPr/>
              <w:t xml:space="preserve">General Council (All Management Groups)</w:t>
            </w:r>
          </w:p>
        </w:tc>
        <w:tc>
          <w:tcPr>
            <w:vAlign w:val="top"/>
          </w:tcPr>
          <w:p>
            <w:pPr>
              <w:keepLines/>
            </w:pPr>
            <w:r>
              <w:rPr/>
              <w:t xml:space="preserve">SCOPE 1</w:t>
            </w:r>
          </w:p>
        </w:tc>
        <w:tc>
          <w:tcPr>
            <w:vAlign w:val="top"/>
          </w:tcPr>
          <w:p>
            <w:pPr>
              <w:keepLines/>
            </w:pPr>
            <w:r>
              <w:rPr/>
              <w:t xml:space="preserve">Operations</w:t>
            </w:r>
          </w:p>
        </w:tc>
        <w:tc>
          <w:tcPr>
            <w:vAlign w:val="top"/>
          </w:tcPr>
          <w:p>
            <w:pPr>
              <w:keepLines/>
            </w:pPr>
            <w:r>
              <w:rPr/>
              <w:t xml:space="preserve">Kilometres</w:t>
            </w:r>
          </w:p>
        </w:tc>
        <w:tc>
          <w:tcPr>
            <w:vAlign w:val="top"/>
          </w:tcPr>
          <w:p>
            <w:pPr>
              <w:keepLines/>
            </w:pPr>
            <w:r>
              <w:rPr/>
              <w:t xml:space="preserve">invoice data/Finance Team</w:t>
            </w:r>
          </w:p>
        </w:tc>
        <w:tc>
          <w:tcPr>
            <w:vAlign w:val="top"/>
          </w:tcPr>
          <w:p>
            <w:pPr>
              <w:keepLines/>
            </w:pPr>
            <w:r>
              <w:rPr/>
              <w:t xml:space="preserve">Asset &amp; Operations; Strategic Planning</w:t>
            </w:r>
          </w:p>
        </w:tc>
        <w:tc>
          <w:tcPr>
            <w:vAlign w:val="top"/>
          </w:tcPr>
          <w:p>
            <w:pPr>
              <w:keepLines/>
            </w:pPr>
            <w:r>
              <w:rPr/>
              <w:t xml:space="preserve">Operations - Engineers' Utes</w:t>
            </w:r>
          </w:p>
        </w:tc>
        <w:tc>
          <w:tcPr>
            <w:vAlign w:val="top"/>
          </w:tcPr>
          <w:p>
            <w:pPr>
              <w:keepLines/>
            </w:pPr>
            <w:r>
              <w:rPr/>
              <w:t xml:space="preserve">Low /Modarate - it assumed that data source is an appropriate representation of acitvities.</w:t>
            </w:r>
          </w:p>
        </w:tc>
      </w:tr>
      <w:tr>
        <w:tc>
          <w:tcPr>
            <w:vAlign w:val="top"/>
          </w:tcPr>
          <w:p>
            <w:pPr>
              <w:keepLines/>
            </w:pPr>
            <w:r>
              <w:rPr/>
              <w:t xml:space="preserve">General Council (All Management Groups)</w:t>
            </w:r>
          </w:p>
        </w:tc>
        <w:tc>
          <w:tcPr>
            <w:vAlign w:val="top"/>
          </w:tcPr>
          <w:p>
            <w:pPr>
              <w:keepLines/>
            </w:pPr>
            <w:r>
              <w:rPr/>
              <w:t xml:space="preserve">SCOPE 1</w:t>
            </w:r>
          </w:p>
        </w:tc>
        <w:tc>
          <w:tcPr>
            <w:vAlign w:val="top"/>
          </w:tcPr>
          <w:p>
            <w:pPr>
              <w:keepLines/>
            </w:pPr>
            <w:r>
              <w:rPr/>
              <w:t xml:space="preserve">Operations</w:t>
            </w:r>
          </w:p>
        </w:tc>
        <w:tc>
          <w:tcPr>
            <w:vAlign w:val="top"/>
          </w:tcPr>
          <w:p>
            <w:pPr>
              <w:keepLines/>
            </w:pPr>
            <w:r>
              <w:rPr/>
              <w:t xml:space="preserve">Kilometres</w:t>
            </w:r>
          </w:p>
        </w:tc>
        <w:tc>
          <w:tcPr>
            <w:vAlign w:val="top"/>
          </w:tcPr>
          <w:p>
            <w:pPr>
              <w:keepLines/>
            </w:pPr>
            <w:r>
              <w:rPr/>
              <w:t xml:space="preserve">invoice data/Finance Team</w:t>
            </w:r>
          </w:p>
        </w:tc>
        <w:tc>
          <w:tcPr>
            <w:vAlign w:val="top"/>
          </w:tcPr>
          <w:p>
            <w:pPr>
              <w:keepLines/>
            </w:pPr>
            <w:r>
              <w:rPr/>
              <w:t xml:space="preserve">Asset &amp; Operations; Strategic Planning</w:t>
            </w:r>
          </w:p>
        </w:tc>
        <w:tc>
          <w:tcPr>
            <w:vAlign w:val="top"/>
          </w:tcPr>
          <w:p>
            <w:pPr>
              <w:keepLines/>
            </w:pPr>
            <w:r>
              <w:rPr/>
              <w:t xml:space="preserve">Operations - Water Treatment Vehicles</w:t>
            </w:r>
          </w:p>
        </w:tc>
        <w:tc>
          <w:tcPr>
            <w:vAlign w:val="top"/>
          </w:tcPr>
          <w:p>
            <w:pPr>
              <w:keepLines/>
            </w:pPr>
            <w:r>
              <w:rPr/>
              <w:t xml:space="preserve">Low /Modarate - it assumed that data source is an appropriate representation of acitvities.</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Airport Terminal</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ANZ 157-161 Queen Street Masterton 5810</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Archives  77 Queen Street Masterton East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BldsAviary/Fernery   Park Avenue Masterton East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Boat Shed   Dixon Street Masterton East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Community Room  118 Ngaumutawa Road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Grandstand  Dixon Street Masterton East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ubilee Museum 16 Dixon Street Masterton East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Kuripuni Toilets Waltons Ave,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Laundry Shed 118 Ngaumutawa Road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Library  60 Queen Street Masterton West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MDC Office 64 Chapel Street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Offices Bannister Street Masterton 5810</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Offices Bannister Street Masterton 5811</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Park Café</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Pound 79 Ngaumutawa Road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Public Trust Power - 2/20 Perry Street - old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Public Trust Power - 2/20 Perry Street</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Public Trust Power -1/20 Perry Street</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Recycle Plant   Nursery Road Homebush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Workshop  767 Upper Plain Road Matahiwi Masterton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Council Offices and Operational Blds Refrigerated Container 1 Nursery Road Homebush</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Bideford Hall   Mangapurupuru Road  Bideford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Rangitumau Hall</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Taueru Hall  84 Masterton Castlepoint Road  Tauweru</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Tinui Hall Black Hill Road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Wainuioru Hall &amp; Wainuioru Fire Stn  Masterton Stronvar Road</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Whangaehu Hall</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community Hall Whareama Hall Langdale Road</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Cenotaph Lighting   Dixon Street Masterton East Masterton</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Runway Lighting 12 Manaia Road</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Skating Rink Lights   Dixon Street Masterton East Masterton</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Bentley Street Yard Masterton 5810</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Parking Mtr Cntrl Point  229 Queen Street Masterton East Masterton</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Parking Mtr Cntrl Point  52 Queen Street Masterton West Masterton</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Parking Mtr Cntrl Point  55 Queen Street Masterton East Masterton</w:t>
            </w:r>
          </w:p>
        </w:tc>
        <w:tc>
          <w:tcPr>
            <w:vAlign w:val="top"/>
          </w:tcPr>
          <w:p>
            <w:pPr>
              <w:keepLines/>
            </w:pPr>
            <w:r>
              <w:rPr/>
              <w:t xml:space="preserve">Low - Meter Data</w:t>
            </w:r>
          </w:p>
        </w:tc>
      </w:tr>
      <w:tr>
        <w:tc>
          <w:tcPr>
            <w:vAlign w:val="top"/>
          </w:tcPr>
          <w:p>
            <w:pPr>
              <w:keepLines/>
            </w:pPr>
            <w:r>
              <w:rPr/>
              <w:t xml:space="preserve">Roading and water network (Community Facilities &amp; Activities; Asset &amp;Operations; Strategic Planning)</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 Asset &amp; Operations; Strategic Planning;</w:t>
            </w:r>
          </w:p>
        </w:tc>
        <w:tc>
          <w:tcPr>
            <w:vAlign w:val="top"/>
          </w:tcPr>
          <w:p>
            <w:pPr>
              <w:keepLines/>
            </w:pPr>
            <w:r>
              <w:rPr/>
              <w:t xml:space="preserve">Parking/site Lighting Library Square  66-76 Queen Street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Event Connection QE Park Playground field</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Clarke Memorial Domain Mauriceville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Henley Lake  Colombo Road Lansdowne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Irrigation P Memorial Park   Dixon Street Masterton East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Irrigation  P Park Dixon Street Masterton East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Mawley Park 5 Oxford Street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McJorrow Playground - old</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McJorrow Playground - current</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Sports Bowl Connection   Blair Street Lansdowne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Parks Sunken Garden   Dixon Street Masterton East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Park Lake Pump   Villa Street Masterton West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135 Blue Pacific Parade</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136 Blue Pacific Parade</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288 Riversdale Road</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73 Blue Pacific Parade</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95 Blue Pacific Parade</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Bodle Drive</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Boost Pump Shed  673 Upper Plain Road Matahiwi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Cnr Opaki and Second St Sewer Pump</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Irrigation Pump, 379A Te Whiti Road, Homebush, Masterton 5810</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Main Sewer Pump Station   Jetty Road  Castlepoint</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Motumati Pump Station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Patakawa Pump Station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Pump  122 Chapel Street Masterton West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Pumping Station   Colombo Road Lansdowne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Pump Station John McDonald Mews</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Sewer Pump Station   Jetty Road  Castlepoint</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Te Kopi Pump Station - two meters</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Watsons Road Pump Station - two meters</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Weraiti Pump Station - two meters</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Westmere Pump Station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IRRIGATION PUMP 374 Lees Pakaraka Road RD 4 Masterton 5884</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IRRIG PUMPS 49 MASTERTON-MARTINBOROUGH ROAD Masterton 5886</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Watsons Road Pump Station - two meters</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Water Plant Tinui   Annedale Road  Tinui</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Water Syphon Plant   Upper Waingawa Road Carterton Masterton</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Pump stations Treatment Ponds -Access Opp 1790 Homewood Road RD 12</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Reservoirs Manuka Street Reservoir</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Reservoirs Old Reservoir   Upper Plain Road Masterton West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Reservoirs Reservoir   Titoki Street Lansdowne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Reservoirs Upper Plain Reservoir</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North End Toilet Riversdale   Bodle Drive  Riversdale Beach</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Rest Rooms 14 Bannister Street Masterton East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Toilet Block-Church End   Jetty Road  Castlepoint</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Toilet Block-Shop End   Jetty Road  Castlepoint</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Toilets T1509 Pinedale Cres Masteron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Toilets/Workshops   Dixon Street Masterton East Masterton</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Community Facilities &amp;Activities</w:t>
            </w:r>
          </w:p>
        </w:tc>
        <w:tc>
          <w:tcPr>
            <w:vAlign w:val="top"/>
          </w:tcPr>
          <w:p>
            <w:pPr>
              <w:keepLines/>
            </w:pPr>
            <w:r>
              <w:rPr/>
              <w:t xml:space="preserve">Toilets Kuripuni Toilets Waltons Ave, Masterton</w:t>
            </w:r>
          </w:p>
        </w:tc>
        <w:tc>
          <w:tcPr>
            <w:vAlign w:val="top"/>
          </w:tcPr>
          <w:p>
            <w:pPr>
              <w:keepLines/>
            </w:pPr>
            <w:r>
              <w:rPr/>
              <w:t xml:space="preserve">Low - Meter Data</w:t>
            </w:r>
          </w:p>
        </w:tc>
      </w:tr>
      <w:tr>
        <w:tc>
          <w:tcPr>
            <w:vAlign w:val="top"/>
          </w:tcPr>
          <w:p>
            <w:pPr>
              <w:keepLines/>
            </w:pPr>
            <w:r>
              <w:rPr/>
              <w:t xml:space="preserve">Properties (Community Facilities &amp; Activities; Asset &amp; Operations; Strategic Planning)</w:t>
            </w:r>
          </w:p>
        </w:tc>
        <w:tc>
          <w:tcPr>
            <w:vAlign w:val="top"/>
          </w:tcPr>
          <w:p>
            <w:pPr>
              <w:keepLines/>
            </w:pPr>
            <w:r>
              <w:rPr/>
              <w:t xml:space="preserve">SCOPE 3</w:t>
            </w:r>
          </w:p>
        </w:tc>
        <w:tc>
          <w:tcPr>
            <w:vAlign w:val="top"/>
          </w:tcPr>
          <w:p>
            <w:pPr>
              <w:keepLines/>
            </w:pPr>
            <w:r>
              <w:rPr/>
              <w:t xml:space="preserve">Waste from offices</w:t>
            </w:r>
          </w:p>
        </w:tc>
        <w:tc>
          <w:tcPr>
            <w:vAlign w:val="top"/>
          </w:tcPr>
          <w:p>
            <w:pPr>
              <w:keepLines/>
            </w:pPr>
            <w:r>
              <w:rPr/>
              <w:t xml:space="preserve">Kg</w:t>
            </w:r>
          </w:p>
        </w:tc>
        <w:tc>
          <w:tcPr>
            <w:vAlign w:val="top"/>
          </w:tcPr>
          <w:p>
            <w:pPr>
              <w:keepLines/>
            </w:pPr>
            <w:r>
              <w:rPr/>
              <w:t xml:space="preserve">frequency of bin collections/approx weight of a bin/Staff Knowledge</w:t>
            </w:r>
          </w:p>
        </w:tc>
        <w:tc>
          <w:tcPr>
            <w:vAlign w:val="top"/>
          </w:tcPr>
          <w:p>
            <w:pPr>
              <w:keepLines/>
            </w:pPr>
            <w:r>
              <w:rPr/>
              <w:t xml:space="preserve">Community Facilities &amp;Activities; Asset &amp; Operations; Strategic Planning; Office of the CE</w:t>
            </w:r>
          </w:p>
        </w:tc>
        <w:tc>
          <w:tcPr>
            <w:vAlign w:val="top"/>
          </w:tcPr>
          <w:p>
            <w:pPr>
              <w:keepLines/>
            </w:pPr>
            <w:r>
              <w:rPr/>
              <w:t xml:space="preserve">Council - owned buidlings including offices, library and community halls</w:t>
            </w:r>
          </w:p>
        </w:tc>
        <w:tc>
          <w:tcPr>
            <w:vAlign w:val="top"/>
          </w:tcPr>
          <w:p>
            <w:pPr>
              <w:keepLines/>
            </w:pPr>
            <w:r>
              <w:rPr/>
              <w:t xml:space="preserve">Moderate - details provided by the facilities management staff. Mass calculated from bin volume, density determined by waste audit and number of of removals.</w:t>
            </w:r>
          </w:p>
        </w:tc>
      </w:tr>
      <w:tr>
        <w:tc>
          <w:tcPr>
            <w:vAlign w:val="top"/>
          </w:tcPr>
          <w:p>
            <w:pPr>
              <w:keepLines/>
            </w:pPr>
            <w:r>
              <w:rPr/>
              <w:t xml:space="preserve">Leisure and Open Space (Community Facilities &amp;Activities)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w:t>
            </w:r>
          </w:p>
        </w:tc>
        <w:tc>
          <w:tcPr>
            <w:vAlign w:val="top"/>
          </w:tcPr>
          <w:p>
            <w:pPr>
              <w:keepLines/>
            </w:pPr>
            <w:r>
              <w:rPr/>
              <w:t xml:space="preserve">Community Facilities &amp;Activities</w:t>
            </w:r>
          </w:p>
        </w:tc>
        <w:tc>
          <w:tcPr>
            <w:vAlign w:val="top"/>
          </w:tcPr>
          <w:p>
            <w:pPr>
              <w:keepLines/>
            </w:pPr>
            <w:r>
              <w:rPr/>
              <w:t xml:space="preserve">Recreation Centre/Swimming Pool</w:t>
            </w:r>
          </w:p>
        </w:tc>
        <w:tc>
          <w:tcPr>
            <w:vAlign w:val="top"/>
          </w:tcPr>
          <w:p>
            <w:pPr>
              <w:keepLines/>
            </w:pPr>
            <w:r>
              <w:rPr/>
              <w:t xml:space="preserve">Low - Meter Data</w:t>
            </w:r>
          </w:p>
        </w:tc>
      </w:tr>
      <w:tr>
        <w:tc>
          <w:tcPr>
            <w:vAlign w:val="top"/>
          </w:tcPr>
          <w:p>
            <w:pPr>
              <w:keepLines/>
            </w:pPr>
            <w:r>
              <w:rPr/>
              <w:t xml:space="preserve">Leisure and Open Space (Community Facilities &amp;Activities)</w:t>
            </w:r>
          </w:p>
        </w:tc>
        <w:tc>
          <w:tcPr>
            <w:vAlign w:val="top"/>
          </w:tcPr>
          <w:p>
            <w:pPr>
              <w:keepLines/>
            </w:pPr>
            <w:r>
              <w:rPr/>
              <w:t xml:space="preserve">SCOPE 1</w:t>
            </w:r>
          </w:p>
        </w:tc>
        <w:tc>
          <w:tcPr>
            <w:vAlign w:val="top"/>
          </w:tcPr>
          <w:p>
            <w:pPr>
              <w:keepLines/>
            </w:pPr>
            <w:r>
              <w:rPr/>
              <w:t xml:space="preserve">Gas</w:t>
            </w:r>
          </w:p>
        </w:tc>
        <w:tc>
          <w:tcPr>
            <w:vAlign w:val="top"/>
          </w:tcPr>
          <w:p>
            <w:pPr>
              <w:keepLines/>
            </w:pPr>
            <w:r>
              <w:rPr/>
              <w:t xml:space="preserve">kg</w:t>
            </w:r>
          </w:p>
        </w:tc>
        <w:tc>
          <w:tcPr>
            <w:vAlign w:val="top"/>
          </w:tcPr>
          <w:p>
            <w:pPr>
              <w:keepLines/>
            </w:pPr>
            <w:r>
              <w:rPr/>
              <w:t xml:space="preserve">Invoice Data</w:t>
            </w:r>
          </w:p>
        </w:tc>
        <w:tc>
          <w:tcPr>
            <w:vAlign w:val="top"/>
          </w:tcPr>
          <w:p>
            <w:pPr>
              <w:keepLines/>
            </w:pPr>
            <w:r>
              <w:rPr/>
              <w:t xml:space="preserve">Community Facilities &amp;Activities</w:t>
            </w:r>
          </w:p>
        </w:tc>
        <w:tc>
          <w:tcPr>
            <w:vAlign w:val="top"/>
          </w:tcPr>
          <w:p>
            <w:pPr>
              <w:keepLines/>
            </w:pPr>
            <w:r>
              <w:rPr/>
              <w:t xml:space="preserve">Recreation Centre/Swimming Pool</w:t>
            </w:r>
          </w:p>
        </w:tc>
        <w:tc>
          <w:tcPr>
            <w:vAlign w:val="top"/>
          </w:tcPr>
          <w:p>
            <w:pPr>
              <w:keepLines/>
            </w:pPr>
            <w:r>
              <w:rPr/>
              <w:t xml:space="preserve">Low - invoice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Streetlighting Rural</w:t>
            </w:r>
          </w:p>
        </w:tc>
        <w:tc>
          <w:tcPr>
            <w:vAlign w:val="top"/>
          </w:tcPr>
          <w:p>
            <w:pPr>
              <w:keepLines/>
            </w:pPr>
            <w:r>
              <w:rPr/>
              <w:t xml:space="preserve">Low - Meter Data</w:t>
            </w:r>
          </w:p>
        </w:tc>
      </w:tr>
      <w:tr>
        <w:tc>
          <w:tcPr>
            <w:vAlign w:val="top"/>
          </w:tcPr>
          <w:p>
            <w:pPr>
              <w:keepLines/>
            </w:pPr>
            <w:r>
              <w:rPr/>
              <w:t xml:space="preserve">Roading and water network (Asset &amp;Operations)</w:t>
            </w:r>
          </w:p>
        </w:tc>
        <w:tc>
          <w:tcPr>
            <w:vAlign w:val="top"/>
          </w:tcPr>
          <w:p>
            <w:pPr>
              <w:keepLines/>
            </w:pPr>
            <w:r>
              <w:rPr/>
              <w:t xml:space="preserve">SCOPE 2</w:t>
            </w:r>
          </w:p>
        </w:tc>
        <w:tc>
          <w:tcPr>
            <w:vAlign w:val="top"/>
          </w:tcPr>
          <w:p>
            <w:pPr>
              <w:keepLines/>
            </w:pPr>
            <w:r>
              <w:rPr/>
              <w:t xml:space="preserve">Electricity</w:t>
            </w:r>
          </w:p>
        </w:tc>
        <w:tc>
          <w:tcPr>
            <w:vAlign w:val="top"/>
          </w:tcPr>
          <w:p>
            <w:pPr>
              <w:keepLines/>
            </w:pPr>
            <w:r>
              <w:rPr/>
              <w:t xml:space="preserve">kWh</w:t>
            </w:r>
          </w:p>
        </w:tc>
        <w:tc>
          <w:tcPr>
            <w:vAlign w:val="top"/>
          </w:tcPr>
          <w:p>
            <w:pPr>
              <w:keepLines/>
            </w:pPr>
            <w:r>
              <w:rPr/>
              <w:t xml:space="preserve">Invoice data/Finance Team</w:t>
            </w:r>
          </w:p>
        </w:tc>
        <w:tc>
          <w:tcPr>
            <w:vAlign w:val="top"/>
          </w:tcPr>
          <w:p>
            <w:pPr>
              <w:keepLines/>
            </w:pPr>
            <w:r>
              <w:rPr/>
              <w:t xml:space="preserve">Asset &amp; Operations</w:t>
            </w:r>
          </w:p>
        </w:tc>
        <w:tc>
          <w:tcPr>
            <w:vAlign w:val="top"/>
          </w:tcPr>
          <w:p>
            <w:pPr>
              <w:keepLines/>
            </w:pPr>
            <w:r>
              <w:rPr/>
              <w:t xml:space="preserve">Streetlighting Urban</w:t>
            </w:r>
          </w:p>
        </w:tc>
        <w:tc>
          <w:tcPr>
            <w:vAlign w:val="top"/>
          </w:tcPr>
          <w:p>
            <w:pPr>
              <w:keepLines/>
            </w:pPr>
            <w:r>
              <w:rPr/>
              <w:t xml:space="preserve">Low - Meter Data</w:t>
            </w:r>
          </w:p>
        </w:tc>
      </w:tr>
      <w:tr>
        <w:tc>
          <w:tcPr>
            <w:vAlign w:val="top"/>
          </w:tcPr>
          <w:p>
            <w:pPr>
              <w:keepLines/>
            </w:pPr>
            <w:r>
              <w:rPr/>
              <w:t xml:space="preserve">Properties (Community Facilities &amp; Activities)</w:t>
            </w:r>
          </w:p>
        </w:tc>
        <w:tc>
          <w:tcPr>
            <w:vAlign w:val="top"/>
          </w:tcPr>
          <w:p>
            <w:pPr>
              <w:keepLines/>
            </w:pPr>
            <w:r>
              <w:rPr/>
              <w:t xml:space="preserve">SCOPE 1</w:t>
            </w:r>
          </w:p>
        </w:tc>
        <w:tc>
          <w:tcPr>
            <w:vAlign w:val="top"/>
          </w:tcPr>
          <w:p>
            <w:pPr>
              <w:keepLines/>
            </w:pPr>
            <w:r>
              <w:rPr/>
              <w:t xml:space="preserve">Refigerant</w:t>
            </w:r>
          </w:p>
        </w:tc>
        <w:tc>
          <w:tcPr>
            <w:vAlign w:val="top"/>
          </w:tcPr>
          <w:p>
            <w:pPr>
              <w:keepLines/>
            </w:pPr>
            <w:r>
              <w:rPr/>
              <w:t xml:space="preserve">kg</w:t>
            </w:r>
          </w:p>
        </w:tc>
        <w:tc>
          <w:tcPr>
            <w:vAlign w:val="top"/>
          </w:tcPr>
          <w:p>
            <w:pPr>
              <w:keepLines/>
            </w:pPr>
            <w:r>
              <w:rPr/>
              <w:t xml:space="preserve">Invoice data - Estimate of annual system recharges/Finance Team</w:t>
            </w:r>
          </w:p>
        </w:tc>
        <w:tc>
          <w:tcPr>
            <w:vAlign w:val="top"/>
          </w:tcPr>
          <w:p>
            <w:pPr>
              <w:keepLines/>
            </w:pPr>
            <w:r>
              <w:rPr/>
              <w:t xml:space="preserve">Community Facilities &amp;Activities</w:t>
            </w:r>
          </w:p>
        </w:tc>
        <w:tc>
          <w:tcPr>
            <w:vAlign w:val="top"/>
          </w:tcPr>
          <w:p>
            <w:pPr>
              <w:keepLines/>
            </w:pPr>
            <w:r>
              <w:rPr/>
              <w:t xml:space="preserve">Council - owned buidlings including offices, library and community halls</w:t>
            </w:r>
          </w:p>
        </w:tc>
        <w:tc>
          <w:tcPr>
            <w:vAlign w:val="top"/>
          </w:tcPr>
          <w:p>
            <w:pPr>
              <w:keepLines/>
            </w:pPr>
            <w:r>
              <w:rPr/>
              <w:t xml:space="preserve">Moderate - details provided by the service provider</w:t>
            </w:r>
          </w:p>
        </w:tc>
      </w:tr>
      <w:tr>
        <w:tc>
          <w:tcPr>
            <w:vAlign w:val="top"/>
          </w:tcPr>
          <w:p>
            <w:pPr>
              <w:keepLines/>
            </w:pPr>
            <w:r>
              <w:rPr/>
              <w:t xml:space="preserve">General Council (All Management Groups)</w:t>
            </w:r>
          </w:p>
        </w:tc>
        <w:tc>
          <w:tcPr>
            <w:vAlign w:val="top"/>
          </w:tcPr>
          <w:p>
            <w:pPr>
              <w:keepLines/>
            </w:pPr>
            <w:r>
              <w:rPr/>
              <w:t xml:space="preserve">SCOPE 1</w:t>
            </w:r>
          </w:p>
        </w:tc>
        <w:tc>
          <w:tcPr>
            <w:vAlign w:val="top"/>
          </w:tcPr>
          <w:p>
            <w:pPr>
              <w:keepLines/>
            </w:pPr>
            <w:r>
              <w:rPr/>
              <w:t xml:space="preserve">Business Travel</w:t>
            </w:r>
          </w:p>
        </w:tc>
        <w:tc>
          <w:tcPr>
            <w:vAlign w:val="top"/>
          </w:tcPr>
          <w:p>
            <w:pPr>
              <w:keepLines/>
            </w:pPr>
            <w:r>
              <w:rPr/>
              <w:t xml:space="preserve">km</w:t>
            </w:r>
          </w:p>
        </w:tc>
        <w:tc>
          <w:tcPr>
            <w:vAlign w:val="top"/>
          </w:tcPr>
          <w:p>
            <w:pPr>
              <w:keepLines/>
            </w:pPr>
            <w:r>
              <w:rPr/>
              <w:t xml:space="preserve">invoice data/fuel cards/Finance Team</w:t>
            </w:r>
          </w:p>
        </w:tc>
        <w:tc>
          <w:tcPr>
            <w:vAlign w:val="top"/>
          </w:tcPr>
          <w:p>
            <w:pPr>
              <w:keepLines/>
            </w:pPr>
            <w:r>
              <w:rPr/>
              <w:t xml:space="preserve">Community Facilities &amp;Activities; Asset &amp; Operations; Strategic Planning; Office of the CE</w:t>
            </w:r>
          </w:p>
        </w:tc>
        <w:tc>
          <w:tcPr>
            <w:vAlign w:val="top"/>
          </w:tcPr>
          <w:p>
            <w:pPr>
              <w:keepLines/>
            </w:pPr>
            <w:r>
              <w:rPr/>
              <w:t xml:space="preserve">Pool Cars - business travel</w:t>
            </w:r>
          </w:p>
        </w:tc>
        <w:tc>
          <w:tcPr>
            <w:vAlign w:val="top"/>
          </w:tcPr>
          <w:p>
            <w:pPr>
              <w:keepLines/>
            </w:pPr>
            <w:r>
              <w:rPr/>
              <w:t xml:space="preserve">Low /Modarate - it assumed that data source is an appropriate representation of acitvities.</w:t>
            </w:r>
          </w:p>
        </w:tc>
      </w:tr>
      <w:tr>
        <w:tc>
          <w:tcPr>
            <w:vAlign w:val="top"/>
          </w:tcPr>
          <w:p>
            <w:pPr>
              <w:keepLines/>
            </w:pPr>
            <w:r>
              <w:rPr/>
              <w:t xml:space="preserve">General Council (All Management Groups)</w:t>
            </w:r>
          </w:p>
        </w:tc>
        <w:tc>
          <w:tcPr>
            <w:vAlign w:val="top"/>
          </w:tcPr>
          <w:p>
            <w:pPr>
              <w:keepLines/>
            </w:pPr>
            <w:r>
              <w:rPr/>
              <w:t xml:space="preserve">SCOPE 3</w:t>
            </w:r>
          </w:p>
        </w:tc>
        <w:tc>
          <w:tcPr>
            <w:vAlign w:val="top"/>
          </w:tcPr>
          <w:p>
            <w:pPr>
              <w:keepLines/>
            </w:pPr>
            <w:r>
              <w:rPr/>
              <w:t xml:space="preserve">Business Travel</w:t>
            </w:r>
          </w:p>
        </w:tc>
        <w:tc>
          <w:tcPr>
            <w:vAlign w:val="top"/>
          </w:tcPr>
          <w:p>
            <w:pPr>
              <w:keepLines/>
            </w:pPr>
            <w:r>
              <w:rPr/>
              <w:t xml:space="preserve">km</w:t>
            </w:r>
          </w:p>
        </w:tc>
        <w:tc>
          <w:tcPr>
            <w:vAlign w:val="top"/>
          </w:tcPr>
          <w:p>
            <w:pPr>
              <w:keepLines/>
            </w:pPr>
            <w:r>
              <w:rPr/>
              <w:t xml:space="preserve">Credit card transactions/Finance Team</w:t>
            </w:r>
          </w:p>
        </w:tc>
        <w:tc>
          <w:tcPr>
            <w:vAlign w:val="top"/>
          </w:tcPr>
          <w:p>
            <w:pPr>
              <w:keepLines/>
            </w:pPr>
            <w:r>
              <w:rPr/>
              <w:t xml:space="preserve">Community Facilities &amp;Activities; Asset &amp; Operations; Strategic Planning; Office of the CE</w:t>
            </w:r>
          </w:p>
        </w:tc>
        <w:tc>
          <w:tcPr>
            <w:vAlign w:val="top"/>
          </w:tcPr>
          <w:p>
            <w:pPr>
              <w:keepLines/>
            </w:pPr>
            <w:r>
              <w:rPr/>
              <w:t xml:space="preserve">Taxis</w:t>
            </w:r>
          </w:p>
        </w:tc>
        <w:tc>
          <w:tcPr>
            <w:vAlign w:val="top"/>
          </w:tcPr>
          <w:p>
            <w:pPr>
              <w:keepLines/>
            </w:pPr>
            <w:r>
              <w:rPr/>
              <w:t xml:space="preserve">Low /Modarate - it assumed that data source is an appropriate representation of acitvities.</w:t>
            </w:r>
          </w:p>
        </w:tc>
      </w:tr>
      <w:tr>
        <w:tc>
          <w:tcPr>
            <w:vAlign w:val="top"/>
          </w:tcPr>
          <w:p>
            <w:pPr>
              <w:keepLines/>
            </w:pPr>
            <w:r>
              <w:rPr/>
              <w:t xml:space="preserve">General Council (All Management Groups)</w:t>
            </w:r>
          </w:p>
        </w:tc>
        <w:tc>
          <w:tcPr>
            <w:vAlign w:val="top"/>
          </w:tcPr>
          <w:p>
            <w:pPr>
              <w:keepLines/>
            </w:pPr>
            <w:r>
              <w:rPr/>
              <w:t xml:space="preserve">SCOPE 3</w:t>
            </w:r>
          </w:p>
        </w:tc>
        <w:tc>
          <w:tcPr>
            <w:vAlign w:val="top"/>
          </w:tcPr>
          <w:p>
            <w:pPr>
              <w:keepLines/>
            </w:pPr>
            <w:r>
              <w:rPr/>
              <w:t xml:space="preserve">Business Travel</w:t>
            </w:r>
          </w:p>
        </w:tc>
        <w:tc>
          <w:tcPr>
            <w:vAlign w:val="top"/>
          </w:tcPr>
          <w:p>
            <w:pPr>
              <w:keepLines/>
            </w:pPr>
            <w:r>
              <w:rPr/>
              <w:t xml:space="preserve">pkm</w:t>
            </w:r>
          </w:p>
        </w:tc>
        <w:tc>
          <w:tcPr>
            <w:vAlign w:val="top"/>
          </w:tcPr>
          <w:p>
            <w:pPr>
              <w:keepLines/>
            </w:pPr>
            <w:r>
              <w:rPr/>
              <w:t xml:space="preserve">Credit card transactions/Finance Team</w:t>
            </w:r>
          </w:p>
        </w:tc>
        <w:tc>
          <w:tcPr>
            <w:vAlign w:val="top"/>
          </w:tcPr>
          <w:p>
            <w:pPr>
              <w:keepLines/>
            </w:pPr>
            <w:r>
              <w:rPr/>
              <w:t xml:space="preserve">Community Facilities &amp;Activities; Asset &amp; Operations; Strategic Planning; Office of the CE</w:t>
            </w:r>
          </w:p>
        </w:tc>
        <w:tc>
          <w:tcPr>
            <w:vAlign w:val="top"/>
          </w:tcPr>
          <w:p>
            <w:pPr>
              <w:keepLines/>
            </w:pPr>
            <w:r>
              <w:rPr/>
              <w:t xml:space="preserve">Air Travel Domestic</w:t>
            </w:r>
          </w:p>
        </w:tc>
        <w:tc>
          <w:tcPr>
            <w:vAlign w:val="top"/>
          </w:tcPr>
          <w:p>
            <w:pPr>
              <w:keepLines/>
            </w:pPr>
            <w:r>
              <w:rPr/>
              <w:t xml:space="preserve">High - some booking details missing from credit card transactions and need to be assumed</w:t>
            </w:r>
          </w:p>
        </w:tc>
      </w:tr>
      <w:tr>
        <w:tc>
          <w:tcPr>
            <w:vAlign w:val="top"/>
          </w:tcPr>
          <w:p>
            <w:pPr>
              <w:keepLines/>
            </w:pPr>
            <w:r>
              <w:rPr/>
              <w:t xml:space="preserve">General Council (All Management Groups)</w:t>
            </w:r>
          </w:p>
        </w:tc>
        <w:tc>
          <w:tcPr>
            <w:vAlign w:val="top"/>
          </w:tcPr>
          <w:p>
            <w:pPr>
              <w:keepLines/>
            </w:pPr>
            <w:r>
              <w:rPr/>
              <w:t xml:space="preserve">SCOPE 3</w:t>
            </w:r>
          </w:p>
        </w:tc>
        <w:tc>
          <w:tcPr>
            <w:vAlign w:val="top"/>
          </w:tcPr>
          <w:p>
            <w:pPr>
              <w:keepLines/>
            </w:pPr>
            <w:r>
              <w:rPr/>
              <w:t xml:space="preserve">Business Travel</w:t>
            </w:r>
          </w:p>
        </w:tc>
        <w:tc>
          <w:tcPr>
            <w:vAlign w:val="top"/>
          </w:tcPr>
          <w:p>
            <w:pPr>
              <w:keepLines/>
            </w:pPr>
            <w:r>
              <w:rPr/>
              <w:t xml:space="preserve">km</w:t>
            </w:r>
          </w:p>
        </w:tc>
        <w:tc>
          <w:tcPr>
            <w:vAlign w:val="top"/>
          </w:tcPr>
          <w:p>
            <w:pPr>
              <w:keepLines/>
            </w:pPr>
            <w:r>
              <w:rPr/>
              <w:t xml:space="preserve">Expense claims/Finance system search</w:t>
            </w:r>
          </w:p>
        </w:tc>
        <w:tc>
          <w:tcPr>
            <w:vAlign w:val="top"/>
          </w:tcPr>
          <w:p>
            <w:pPr>
              <w:keepLines/>
            </w:pPr>
            <w:r>
              <w:rPr/>
              <w:t xml:space="preserve">Community Facilities &amp;Activities; Asset &amp; Operations; Strategic Planning; Office of the CE</w:t>
            </w:r>
          </w:p>
        </w:tc>
        <w:tc>
          <w:tcPr>
            <w:vAlign w:val="top"/>
          </w:tcPr>
          <w:p>
            <w:pPr>
              <w:keepLines/>
            </w:pPr>
            <w:r>
              <w:rPr/>
              <w:t xml:space="preserve">Private car business travel</w:t>
            </w:r>
          </w:p>
        </w:tc>
        <w:tc>
          <w:tcPr>
            <w:vAlign w:val="top"/>
          </w:tcPr>
          <w:p>
            <w:pPr>
              <w:keepLines/>
            </w:pPr>
            <w:r>
              <w:rPr/>
              <w:t xml:space="preserve">Low /Modarate - it assumed that data source is an appropriate representation of acitvities.</w:t>
            </w:r>
          </w:p>
        </w:tc>
      </w:tr>
    </w:tbl>
    <w:p w:rsidRPr="00943754" w:rsidR="00943754" w:rsidP="002C1195" w:rsidRDefault="00943754" w14:paraId="5DDE743F" w14:textId="77777777">
      <w:pPr>
        <w:pStyle w:val="BodyText"/>
        <w:rPr>
          <w:color w:val="6D6E70" w:themeColor="text2"/>
          <w:sz w:val="18"/>
          <w:szCs w:val="18"/>
        </w:rPr>
        <w:sectPr w:rsidRPr="00943754" w:rsidR="00943754" w:rsidSect="00C13176">
          <w:headerReference w:type="default" r:id="rId16"/>
          <w:footerReference w:type="default" r:id="rId17"/>
          <w:type w:val="continuous"/>
          <w:pgSz w:w="16838" w:h="11906" w:orient="landscape" w:code="9"/>
          <w:pgMar w:top="1418" w:right="1134" w:bottom="1134" w:left="1134" w:header="709" w:footer="709" w:gutter="0"/>
          <w:cols w:space="708"/>
          <w:docGrid w:linePitch="360"/>
        </w:sectPr>
      </w:pPr>
    </w:p>
    <w:p w:rsidRPr="00A557E1" w:rsidR="00DE6672" w:rsidP="00A557E1" w:rsidRDefault="00A557E1" w14:paraId="348B41A3" w14:textId="545262CD">
      <w:pPr>
        <w:pStyle w:val="Heading2"/>
      </w:pPr>
      <w:bookmarkStart w:name="_Toc433976126" w:id="37"/>
      <w:r w:rsidRPr="00A557E1">
        <w:lastRenderedPageBreak/>
        <w:t>6.1</w:t>
      </w:r>
      <w:r w:rsidRPr="00A557E1">
        <w:tab/>
      </w:r>
      <w:r w:rsidRPr="00A557E1" w:rsidR="00DE6672">
        <w:t xml:space="preserve">Other emissions – HFCs, PFCs and </w:t>
      </w:r>
      <w:r w:rsidRPr="00A557E1" w:rsidR="00DE6672">
        <w:rPr>
          <w:vertAlign w:val="baseline"/>
        </w:rPr>
        <w:t xml:space="preserve">SF</w:t>
      </w:r>
      <w:r w:rsidRPr="00A557E1" w:rsidR="00DE6672">
        <w:rPr>
          <w:vertAlign w:val="subscript"/>
        </w:rPr>
        <w:t xml:space="preserve">6</w:t>
      </w:r>
      <w:r w:rsidRPr="00A557E1" w:rsidR="00DE6672">
        <w:t xml:space="preserve"/>
      </w:r>
      <w:bookmarkEnd w:id="37"/>
    </w:p>
    <w:p w:rsidR="00C8691F" w:rsidP="00C8691F" w:rsidRDefault="00C8691F" w14:paraId="741BA229" w14:textId="77777777">
      <w:pPr>
        <w:spacing w:before="120"/>
      </w:pPr>
      <w:r>
        <w:t>We use hydrofluorocarbons (HFCs) in our operations and these have been included in the inventory.</w:t>
      </w:r>
    </w:p>
    <w:p w:rsidR="00C8691F" w:rsidP="00C8691F" w:rsidRDefault="00C8691F" w14:paraId="6328FDBF" w14:textId="77777777">
      <w:pPr>
        <w:spacing w:before="120"/>
      </w:pPr>
      <w:r w:rsidRPr="0093433E">
        <w:t xml:space="preserve">No operations use perfluorocarbons (PFCs), Nitrogen Trifluoride (N3) nor sulphur hexafluoride (</w:t>
      </w:r>
      <w:r w:rsidRPr="0093433E">
        <w:rPr>
          <w:vertAlign w:val="baseline"/>
        </w:rPr>
        <w:t xml:space="preserve">SF</w:t>
      </w:r>
      <w:r w:rsidRPr="0093433E">
        <w:rPr>
          <w:vertAlign w:val="subscript"/>
        </w:rPr>
        <w:t xml:space="preserve">6</w:t>
      </w:r>
      <w:r w:rsidRPr="0093433E">
        <w:t xml:space="preserve">), therefore no holdings of these are reported and no emissions from these sources are included in this inventory.</w:t>
      </w:r>
    </w:p>
    <w:p w:rsidRPr="00A557E1" w:rsidR="00DE6672" w:rsidP="00A557E1" w:rsidRDefault="00A557E1" w14:paraId="26BE77DD" w14:textId="7CAF8CFF">
      <w:pPr>
        <w:pStyle w:val="Heading2"/>
        <w:rPr>
          <w:sz w:val="20"/>
          <w:szCs w:val="20"/>
        </w:rPr>
      </w:pPr>
      <w:bookmarkStart w:name="_Toc433976127" w:id="38"/>
      <w:r>
        <w:t>6.2</w:t>
      </w:r>
      <w:r>
        <w:tab/>
      </w:r>
      <w:r w:rsidRPr="00624594" w:rsidR="00DE6672">
        <w:t>Other emissions – biomass</w:t>
      </w:r>
      <w:bookmarkEnd w:id="38"/>
    </w:p>
    <w:p w:rsidR="00C8691F" w:rsidP="00C8691F" w:rsidRDefault="00C8691F" w14:paraId="2D48CFB6" w14:textId="77777777">
      <w:pPr>
        <w:spacing w:before="120"/>
      </w:pPr>
      <w:r w:rsidRPr="0093433E">
        <w:t>No biomass is combusted in the operations and therefore no emissions from the combustion of biomass are included in this inventory.</w:t>
      </w:r>
    </w:p>
    <w:p w:rsidRPr="00624594" w:rsidR="00DE6672" w:rsidP="00A557E1" w:rsidRDefault="00A557E1" w14:paraId="1CA30A25" w14:textId="75C0FF48">
      <w:pPr>
        <w:pStyle w:val="Heading2"/>
      </w:pPr>
      <w:bookmarkStart w:name="_Toc433976128" w:id="39"/>
      <w:r>
        <w:t>6.3</w:t>
      </w:r>
      <w:r>
        <w:tab/>
      </w:r>
      <w:r w:rsidRPr="00624594" w:rsidR="00DE6672">
        <w:t>Other emissions – deforestation</w:t>
      </w:r>
      <w:bookmarkEnd w:id="39"/>
    </w:p>
    <w:p w:rsidRPr="0093433E" w:rsidR="00C8691F" w:rsidP="00C8691F" w:rsidRDefault="00C8691F" w14:paraId="36B97A17" w14:textId="77777777">
      <w:pPr>
        <w:spacing w:before="120"/>
      </w:pPr>
      <w:r w:rsidRPr="00A71294">
        <w:t>No deforestation has been undertaken by the organisation on land it owns and that is included in this inventory. Therefore no emissions from deforestation are included in this inventory.</w:t>
      </w:r>
    </w:p>
    <w:p w:rsidRPr="00624594" w:rsidR="00DE6672" w:rsidP="00A557E1" w:rsidRDefault="00A557E1" w14:paraId="422EF493" w14:textId="080E5589">
      <w:pPr>
        <w:pStyle w:val="Heading2"/>
      </w:pPr>
      <w:bookmarkStart w:name="_Toc433976129" w:id="40"/>
      <w:r>
        <w:t>6.4</w:t>
      </w:r>
      <w:r>
        <w:tab/>
      </w:r>
      <w:r w:rsidRPr="00624594" w:rsidR="00DE6672">
        <w:t>Pre-verified data</w:t>
      </w:r>
      <w:bookmarkEnd w:id="40"/>
    </w:p>
    <w:p w:rsidR="00C8691F" w:rsidP="00C8691F" w:rsidRDefault="00C8691F" w14:paraId="73259640" w14:textId="77777777">
      <w:pPr>
        <w:spacing w:before="120"/>
      </w:pPr>
      <w:r w:rsidRPr="0093433E">
        <w:t>No pre-verified data is included within the inventory.</w:t>
      </w:r>
    </w:p>
    <w:p w:rsidRPr="0093433E" w:rsidR="000D4EBC" w:rsidP="00C8691F" w:rsidRDefault="000D4EBC" w14:paraId="6B804478" w14:textId="77777777">
      <w:pPr>
        <w:spacing w:before="120"/>
      </w:pPr>
    </w:p>
    <w:p w:rsidRPr="00DE6672" w:rsidR="00DE6672" w:rsidP="00A557E1" w:rsidRDefault="00A557E1" w14:paraId="45E59D82" w14:textId="28F41D4C">
      <w:pPr>
        <w:pStyle w:val="Heading1"/>
      </w:pPr>
      <w:bookmarkStart w:name="_Toc433976130" w:id="41"/>
      <w:r>
        <w:t>7</w:t>
      </w:r>
      <w:r>
        <w:tab/>
      </w:r>
      <w:r w:rsidRPr="00DE6672" w:rsidR="00DE6672">
        <w:t>GHG emissions source exclusions</w:t>
      </w:r>
      <w:bookmarkEnd w:id="41"/>
    </w:p>
    <w:p w:rsidR="00C8691F" w:rsidP="00C8691F" w:rsidRDefault="00C8691F" w14:paraId="6E2CBFC2" w14:textId="77777777">
      <w:r w:rsidRPr="00524AB2">
        <w:t>The following emissions sources have been identified and excluded from the GHG emissions inventory.</w:t>
      </w:r>
    </w:p>
    <w:p w:rsidR="004A6288" w:rsidP="002C076C" w:rsidRDefault="00C8691F" w14:paraId="126195A2" w14:textId="77777777">
      <w:pPr>
        <w:pStyle w:val="Caption"/>
        <w:jc w:val="center"/>
        <w:rPr>
          <w:rFonts w:cs="Arial"/>
          <w:b w:val="0"/>
          <w:bCs w:val="0"/>
          <w:color w:val="6D6E70" w:themeColor="text2"/>
        </w:rPr>
      </w:pPr>
      <w:r w:rsidRPr="002C076C">
        <w:rPr>
          <w:color w:val="6D6E70" w:themeColor="text2"/>
        </w:rPr>
        <w:t xml:space="preserve">Table </w:t>
      </w:r>
      <w:r w:rsidRPr="002C076C">
        <w:rPr>
          <w:color w:val="6D6E70" w:themeColor="text2"/>
        </w:rPr>
        <w:fldChar w:fldCharType="begin"/>
      </w:r>
      <w:r w:rsidRPr="002C076C">
        <w:rPr>
          <w:color w:val="6D6E70" w:themeColor="text2"/>
        </w:rPr>
        <w:instrText xml:space="preserve"> SEQ Table \* ARABIC </w:instrText>
      </w:r>
      <w:r w:rsidRPr="002C076C">
        <w:rPr>
          <w:color w:val="6D6E70" w:themeColor="text2"/>
        </w:rPr>
        <w:fldChar w:fldCharType="separate"/>
      </w:r>
      <w:r w:rsidRPr="002C076C">
        <w:rPr>
          <w:noProof/>
          <w:color w:val="6D6E70" w:themeColor="text2"/>
        </w:rPr>
        <w:t>12</w:t>
      </w:r>
      <w:r w:rsidRPr="002C076C">
        <w:rPr>
          <w:noProof/>
          <w:color w:val="6D6E70" w:themeColor="text2"/>
        </w:rPr>
        <w:fldChar w:fldCharType="end"/>
      </w:r>
      <w:r w:rsidRPr="002C076C">
        <w:rPr>
          <w:rFonts w:cs="Arial"/>
          <w:bCs w:val="0"/>
          <w:color w:val="6D6E70" w:themeColor="text2"/>
        </w:rPr>
        <w:t>:</w:t>
      </w:r>
      <w:r w:rsidRPr="002C076C">
        <w:rPr>
          <w:rFonts w:cs="Arial"/>
          <w:color w:val="6D6E70" w:themeColor="text2"/>
        </w:rPr>
        <w:t xml:space="preserve"> </w:t>
      </w:r>
      <w:r w:rsidRPr="002C076C">
        <w:rPr>
          <w:rFonts w:cs="Arial"/>
          <w:b w:val="0"/>
          <w:bCs w:val="0"/>
          <w:color w:val="6D6E70" w:themeColor="text2"/>
        </w:rPr>
        <w:t>GHG emissions sources excluded from the inventory</w:t>
      </w:r>
      <w:r w:rsidRPr="002C076C" w:rsidR="002C076C">
        <w:rPr>
          <w:rFonts w:cs="Arial"/>
          <w:b w:val="0"/>
          <w:bCs w:val="0"/>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Business unit</w:t>
            </w:r>
          </w:p>
        </w:tc>
        <w:tc>
          <w:tcPr>
            <w:shd w:themeFill="text2"/>
            <w:vAlign w:val="top"/>
          </w:tcPr>
          <w:p>
            <w:pPr>
              <w:keepLines/>
              <w:keepNext/>
            </w:pPr>
            <w:r>
              <w:rPr>
                <w:b w:val="true"/>
                <w:color w:themeColor="background1"/>
              </w:rPr>
              <w:t xml:space="preserve">GHG emissions source</w:t>
            </w:r>
          </w:p>
        </w:tc>
        <w:tc>
          <w:tcPr>
            <w:shd w:themeFill="text2"/>
            <w:vAlign w:val="top"/>
          </w:tcPr>
          <w:p>
            <w:pPr>
              <w:keepLines/>
              <w:keepNext/>
            </w:pPr>
            <w:r>
              <w:rPr>
                <w:b w:val="true"/>
                <w:color w:themeColor="background1"/>
              </w:rPr>
              <w:t xml:space="preserve">GHG emissions level scope</w:t>
            </w:r>
          </w:p>
        </w:tc>
        <w:tc>
          <w:tcPr>
            <w:shd w:themeFill="text2"/>
            <w:vAlign w:val="top"/>
          </w:tcPr>
          <w:p>
            <w:pPr>
              <w:keepLines/>
              <w:keepNext/>
            </w:pPr>
            <w:r>
              <w:rPr>
                <w:b w:val="true"/>
                <w:color w:themeColor="background1"/>
              </w:rPr>
              <w:t xml:space="preserve">Reason for exclusion</w:t>
            </w:r>
          </w:p>
        </w:tc>
      </w:tr>
      <w:tr>
        <w:tc>
          <w:tcPr>
            <w:vAlign w:val="top"/>
          </w:tcPr>
          <w:p>
            <w:pPr>
              <w:keepLines/>
            </w:pPr>
            <w:r>
              <w:rPr/>
              <w:t xml:space="preserve">Properties (Community Facilities &amp; Activities)</w:t>
            </w:r>
          </w:p>
        </w:tc>
        <w:tc>
          <w:tcPr>
            <w:vAlign w:val="top"/>
          </w:tcPr>
          <w:p>
            <w:pPr>
              <w:keepLines/>
            </w:pPr>
            <w:r>
              <w:rPr/>
              <w:t xml:space="preserve">Pensioner Housing</w:t>
            </w:r>
          </w:p>
        </w:tc>
        <w:tc>
          <w:tcPr>
            <w:vAlign w:val="top"/>
          </w:tcPr>
          <w:p>
            <w:pPr>
              <w:keepLines/>
            </w:pPr>
            <w:r>
              <w:rPr/>
              <w:t xml:space="preserve">Scope 2</w:t>
            </w:r>
          </w:p>
        </w:tc>
        <w:tc>
          <w:tcPr>
            <w:vAlign w:val="top"/>
          </w:tcPr>
          <w:p>
            <w:pPr>
              <w:keepLines/>
            </w:pPr>
            <w:r>
              <w:rPr/>
              <w:t xml:space="preserve">Pensioner Housing Electricity has been excluded as all council tenants pay their own power accounts.</w:t>
            </w:r>
          </w:p>
        </w:tc>
      </w:tr>
      <w:tr>
        <w:tc>
          <w:tcPr>
            <w:vAlign w:val="top"/>
          </w:tcPr>
          <w:p>
            <w:pPr>
              <w:keepLines/>
            </w:pPr>
            <w:r>
              <w:rPr/>
              <w:t xml:space="preserve">Properties (Community Facilities &amp; Activities)</w:t>
            </w:r>
          </w:p>
        </w:tc>
        <w:tc>
          <w:tcPr>
            <w:vAlign w:val="top"/>
          </w:tcPr>
          <w:p>
            <w:pPr>
              <w:keepLines/>
            </w:pPr>
            <w:r>
              <w:rPr/>
              <w:t xml:space="preserve">Genealogical Society building</w:t>
            </w:r>
          </w:p>
        </w:tc>
        <w:tc>
          <w:tcPr>
            <w:vAlign w:val="top"/>
          </w:tcPr>
          <w:p>
            <w:pPr>
              <w:keepLines/>
            </w:pPr>
            <w:r>
              <w:rPr/>
              <w:t xml:space="preserve">Scope 2</w:t>
            </w:r>
          </w:p>
        </w:tc>
        <w:tc>
          <w:tcPr>
            <w:vAlign w:val="top"/>
          </w:tcPr>
          <w:p>
            <w:pPr>
              <w:keepLines/>
            </w:pPr>
            <w:r>
              <w:rPr/>
              <w:t xml:space="preserve">Genealogical Society building has been excluded as all paid by the tenant.</w:t>
            </w:r>
          </w:p>
        </w:tc>
      </w:tr>
      <w:tr>
        <w:tc>
          <w:tcPr>
            <w:vAlign w:val="top"/>
          </w:tcPr>
          <w:p>
            <w:pPr>
              <w:keepLines/>
            </w:pPr>
            <w:r>
              <w:rPr/>
              <w:t xml:space="preserve">Properties (Community Facilities &amp; Activities)</w:t>
            </w:r>
          </w:p>
        </w:tc>
        <w:tc>
          <w:tcPr>
            <w:vAlign w:val="top"/>
          </w:tcPr>
          <w:p>
            <w:pPr>
              <w:keepLines/>
            </w:pPr>
            <w:r>
              <w:rPr/>
              <w:t xml:space="preserve">18 Manaia Road Homebush Masterton buildings</w:t>
            </w:r>
          </w:p>
        </w:tc>
        <w:tc>
          <w:tcPr>
            <w:vAlign w:val="top"/>
          </w:tcPr>
          <w:p>
            <w:pPr>
              <w:keepLines/>
            </w:pPr>
            <w:r>
              <w:rPr/>
              <w:t xml:space="preserve">Scope 2</w:t>
            </w:r>
          </w:p>
        </w:tc>
        <w:tc>
          <w:tcPr>
            <w:vAlign w:val="top"/>
          </w:tcPr>
          <w:p>
            <w:pPr>
              <w:keepLines/>
            </w:pPr>
            <w:r>
              <w:rPr/>
              <w:t xml:space="preserve">18 Manaia Road Homebush Masterton buildings have been excluded as all paid by the tenants.</w:t>
            </w:r>
          </w:p>
        </w:tc>
      </w:tr>
      <w:tr>
        <w:tc>
          <w:tcPr>
            <w:vAlign w:val="top"/>
          </w:tcPr>
          <w:p>
            <w:pPr>
              <w:keepLines/>
            </w:pPr>
            <w:r>
              <w:rPr/>
              <w:t xml:space="preserve">General (All Management Group)</w:t>
            </w:r>
          </w:p>
        </w:tc>
        <w:tc>
          <w:tcPr>
            <w:vAlign w:val="top"/>
          </w:tcPr>
          <w:p>
            <w:pPr>
              <w:keepLines/>
            </w:pPr>
            <w:r>
              <w:rPr/>
              <w:t xml:space="preserve">Freight</w:t>
            </w:r>
          </w:p>
        </w:tc>
        <w:tc>
          <w:tcPr>
            <w:vAlign w:val="top"/>
          </w:tcPr>
          <w:p>
            <w:pPr>
              <w:keepLines/>
            </w:pPr>
            <w:r>
              <w:rPr/>
              <w:t xml:space="preserve">Scope 3</w:t>
            </w:r>
          </w:p>
        </w:tc>
        <w:tc>
          <w:tcPr>
            <w:vAlign w:val="top"/>
          </w:tcPr>
          <w:p>
            <w:pPr>
              <w:keepLines/>
            </w:pPr>
            <w:r>
              <w:rPr/>
              <w:t xml:space="preserve">Contract for supply specifies product is responsibility of supplier until delivered</w:t>
            </w:r>
          </w:p>
        </w:tc>
      </w:tr>
    </w:tbl>
    <w:p w:rsidRPr="00661FD0" w:rsidR="00110EB0" w:rsidP="00661FD0" w:rsidRDefault="00110EB0" w14:paraId="17B2885D" w14:textId="77777777">
      <w:pPr>
        <w:rPr>
          <w:rFonts w:cs="Arial"/>
          <w:b/>
          <w:bCs/>
        </w:rPr>
      </w:pPr>
    </w:p>
    <w:p w:rsidRPr="00DE6672" w:rsidR="00DE6672" w:rsidP="00A557E1" w:rsidRDefault="00A557E1" w14:paraId="2109732B" w14:textId="3814ACC0">
      <w:pPr>
        <w:pStyle w:val="Heading1"/>
      </w:pPr>
      <w:bookmarkStart w:name="_Toc433976131" w:id="42"/>
      <w:r>
        <w:t>8</w:t>
      </w:r>
      <w:r>
        <w:tab/>
      </w:r>
      <w:r w:rsidRPr="00DE6672" w:rsidR="00DE6672">
        <w:t>Data collection and uncertainties</w:t>
      </w:r>
      <w:bookmarkEnd w:id="42"/>
    </w:p>
    <w:p w:rsidRPr="00881497" w:rsidR="00DE6672" w:rsidP="002C1195" w:rsidRDefault="00DE6672" w14:paraId="0293F7CA" w14:textId="77777777">
      <w:pPr>
        <w:pStyle w:val="BodyText"/>
        <w:rPr>
          <w:szCs w:val="20"/>
        </w:rPr>
      </w:pPr>
      <w:r w:rsidRPr="00881497">
        <w:rPr>
          <w:szCs w:val="20"/>
        </w:rPr>
        <w:t>Table 11 provides an overview of how data were collected for each GHG emissions source, the source of the data and an explanation of any uncertainties or assumptions made. Estimated numerical uncertainties are reported with the emissions calculations and results.</w:t>
      </w:r>
    </w:p>
    <w:p w:rsidRPr="00881497" w:rsidR="00DE6672" w:rsidP="002C1195" w:rsidRDefault="00DE6672" w14:paraId="0195B895" w14:textId="77777777">
      <w:pPr>
        <w:pStyle w:val="BodyText"/>
        <w:rPr>
          <w:szCs w:val="20"/>
        </w:rPr>
      </w:pPr>
      <w:r w:rsidRPr="00881497">
        <w:rPr>
          <w:szCs w:val="20"/>
        </w:rPr>
        <w:t>All data was calculated using E-Manage and GHG emissions factors as provided by the Programme (see Appendix 1 - data summary.xls).</w:t>
      </w:r>
    </w:p>
    <w:p w:rsidRPr="00881497" w:rsidR="00DE6672" w:rsidP="002C1195" w:rsidRDefault="00DE6672" w14:paraId="3AA056B8" w14:textId="77777777">
      <w:pPr>
        <w:pStyle w:val="BodyText"/>
        <w:rPr>
          <w:szCs w:val="20"/>
        </w:rPr>
      </w:pPr>
      <w:r w:rsidRPr="00881497">
        <w:rPr>
          <w:szCs w:val="20"/>
        </w:rPr>
        <w:t>A calculation methodology has been used for quantifying the GHG emissions inventory using emissions source activity data multiplied by GHG emissions or removal factors.</w:t>
      </w:r>
    </w:p>
    <w:p w:rsidRPr="00F72708" w:rsidR="00C203BC" w:rsidP="008F56F0" w:rsidRDefault="00C203BC" w14:paraId="3CE3037D" w14:textId="77777777">
      <w:pPr>
        <w:spacing w:before="120"/>
      </w:pPr>
    </w:p>
    <w:p w:rsidRPr="00DE6672" w:rsidR="00DE6672" w:rsidP="00A557E1" w:rsidRDefault="00A557E1" w14:paraId="12399D39" w14:textId="0C3407D0">
      <w:pPr>
        <w:pStyle w:val="Heading1"/>
      </w:pPr>
      <w:bookmarkStart w:name="_Toc433976132" w:id="43"/>
      <w:r>
        <w:t>9</w:t>
      </w:r>
      <w:r>
        <w:tab/>
      </w:r>
      <w:r w:rsidRPr="00DE6672" w:rsidR="00DE6672">
        <w:t>GHG emissions calculations and results</w:t>
      </w:r>
      <w:bookmarkEnd w:id="43"/>
    </w:p>
    <w:p w:rsidR="005121D1" w:rsidP="002C1195" w:rsidRDefault="00DE6672" w14:paraId="64742F47" w14:textId="5846B62B">
      <w:pPr>
        <w:pStyle w:val="BodyText"/>
        <w:rPr>
          <w:szCs w:val="20"/>
        </w:rPr>
      </w:pPr>
      <w:r w:rsidRPr="00881497">
        <w:rPr>
          <w:szCs w:val="20"/>
        </w:rPr>
        <w:t>GHG emissions for the organisation for this measurement period are provided in Table 1 where they are stated by greenhouse gas, by scope, by business unit and as total emissions.</w:t>
      </w:r>
    </w:p>
    <w:p w:rsidRPr="00881497" w:rsidR="005121D1" w:rsidP="002C1195" w:rsidRDefault="005121D1" w14:paraId="2BC787BC" w14:textId="77777777">
      <w:pPr>
        <w:pStyle w:val="BodyText"/>
        <w:rPr>
          <w:szCs w:val="20"/>
        </w:rPr>
      </w:pPr>
    </w:p>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0"/>
          </a:graphicData>
        </a:graphic>
      </wp:inline>
    </w:drawing>
    <w:p w:rsidRPr="00317476" w:rsidR="0072077B" w:rsidP="00F51C0B" w:rsidRDefault="006B7CCA" w14:paraId="22EEAC1E" w14:textId="6E635694">
      <w:pPr>
        <w:pStyle w:val="Caption"/>
        <w:keepNext/>
        <w:keepLines/>
        <w:jc w:val="center"/>
        <w:rPr>
          <w:b w:val="0"/>
          <w:color w:val="6D6E70" w:themeColor="text2"/>
        </w:rPr>
      </w:pPr>
      <w:bookmarkStart w:name="_Toc300751927" w:id="44"/>
      <w:r>
        <w:rPr>
          <w:b w:val="0"/>
          <w:color w:val="6D6E70" w:themeColor="text2"/>
        </w:rPr>
        <w:t> </w:t>
      </w:r>
      <w:r w:rsidRPr="00B93141" w:rsidR="00B509E6">
        <w:rPr>
          <w:b w:val="0"/>
          <w:color w:val="6D6E70" w:themeColor="text2"/>
        </w:rPr>
        <w:t/>
      </w:r>
    </w:p>
    <w:p w:rsidRPr="00CB642C" w:rsidR="00DE6672" w:rsidP="00CB642C" w:rsidRDefault="00D929BE" w14:paraId="23190D70" w14:textId="2EAF56DC">
      <w:pPr>
        <w:pStyle w:val="Caption"/>
        <w:jc w:val="center"/>
        <w:rPr>
          <w:b w:val="0"/>
          <w:color w:val="6D6E70" w:themeColor="text2"/>
        </w:rPr>
      </w:pPr>
      <w:r w:rsidRPr="00B93141">
        <w:rPr>
          <w:color w:val="6D6E70" w:themeColor="text2"/>
        </w:rPr>
        <w:t xml:space="preserve">Figure </w:t>
      </w:r>
      <w:r w:rsidRPr="00B93141">
        <w:rPr>
          <w:color w:val="6D6E70" w:themeColor="text2"/>
        </w:rPr>
        <w:fldChar w:fldCharType="begin"/>
      </w:r>
      <w:r w:rsidRPr="00B93141">
        <w:rPr>
          <w:color w:val="6D6E70" w:themeColor="text2"/>
        </w:rPr>
        <w:instrText xml:space="preserve"> SEQ Figure \* ARABIC </w:instrText>
      </w:r>
      <w:r w:rsidRPr="00B93141">
        <w:rPr>
          <w:color w:val="6D6E70" w:themeColor="text2"/>
        </w:rPr>
        <w:fldChar w:fldCharType="separate"/>
      </w:r>
      <w:r w:rsidRPr="00B93141">
        <w:rPr>
          <w:noProof/>
          <w:color w:val="6D6E70" w:themeColor="text2"/>
        </w:rPr>
        <w:t>2</w:t>
      </w:r>
      <w:r w:rsidRPr="00B93141">
        <w:rPr>
          <w:color w:val="6D6E70" w:themeColor="text2"/>
        </w:rPr>
        <w:fldChar w:fldCharType="end"/>
      </w:r>
      <w:r w:rsidRPr="00B93141" w:rsidR="00DE6672">
        <w:rPr>
          <w:rFonts w:cs="Arial"/>
          <w:color w:val="6D6E70" w:themeColor="text2"/>
        </w:rPr>
        <w:t xml:space="preserve">: </w:t>
      </w:r>
      <w:r w:rsidRPr="00B93141" w:rsidR="00DE6672">
        <w:rPr>
          <w:rFonts w:cs="Arial"/>
          <w:b w:val="0"/>
          <w:color w:val="6D6E70" w:themeColor="text2"/>
        </w:rPr>
        <w:t>GHG emissions (tonnes CO</w:t>
      </w:r>
      <w:r w:rsidRPr="00B93141" w:rsidR="00DE6672">
        <w:rPr>
          <w:rFonts w:cs="Arial"/>
          <w:b w:val="0"/>
          <w:color w:val="6D6E70" w:themeColor="text2"/>
          <w:vertAlign w:val="subscript"/>
        </w:rPr>
        <w:t>2</w:t>
      </w:r>
      <w:r w:rsidRPr="00B93141" w:rsidR="00DE6672">
        <w:rPr>
          <w:rFonts w:cs="Arial"/>
          <w:b w:val="0"/>
          <w:color w:val="6D6E70" w:themeColor="text2"/>
        </w:rPr>
        <w:t>e) by scope.</w:t>
      </w:r>
      <w:bookmarkEnd w:id="44"/>
    </w:p>
    <w:p w:rsidR="002E6C40" w:rsidP="002C1195" w:rsidRDefault="002E6C40" w14:paraId="1325504A" w14:textId="77777777">
      <w:pPr>
        <w:pStyle w:val="BodyText"/>
        <w:rPr>
          <w:szCs w:val="20"/>
        </w:rPr>
      </w:pPr>
    </w:p>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1"/>
          </a:graphicData>
        </a:graphic>
      </wp:inline>
    </w:drawing>
    <w:p w:rsidRPr="00027CE8" w:rsidR="00027CE8" w:rsidP="00F51C0B" w:rsidRDefault="00027CE8" w14:paraId="129152A3" w14:textId="7305F173">
      <w:pPr>
        <w:pStyle w:val="Caption"/>
        <w:keepNext/>
        <w:keepLines/>
        <w:jc w:val="center"/>
        <w:rPr>
          <w:b w:val="0"/>
          <w:color w:val="6D6E70" w:themeColor="text2"/>
        </w:rPr>
      </w:pPr>
      <w:bookmarkStart w:name="_Toc300751928" w:id="45"/>
      <w:r>
        <w:rPr>
          <w:b w:val="0"/>
          <w:color w:val="6D6E70" w:themeColor="text2"/>
        </w:rPr>
        <w:lastRenderedPageBreak/>
        <w:t> </w:t>
      </w:r>
      <w:r w:rsidRPr="00027CE8">
        <w:rPr>
          <w:b w:val="0"/>
          <w:color w:val="6D6E70" w:themeColor="text2"/>
        </w:rPr>
        <w:t xml:space="preserve"/>
      </w:r>
    </w:p>
    <w:p w:rsidR="00DE6672" w:rsidP="0023234C" w:rsidRDefault="00D929BE" w14:paraId="3AF77ED3" w14:textId="77777777">
      <w:pPr>
        <w:pStyle w:val="Caption"/>
        <w:jc w:val="center"/>
        <w:rPr>
          <w:rFonts w:cs="Arial"/>
          <w:b w:val="0"/>
        </w:rPr>
      </w:pPr>
      <w:r w:rsidRPr="0023234C">
        <w:rPr>
          <w:color w:val="6D6E70" w:themeColor="text2"/>
        </w:rPr>
        <w:t xml:space="preserve">Figure </w:t>
      </w:r>
      <w:r w:rsidRPr="0023234C">
        <w:rPr>
          <w:color w:val="6D6E70" w:themeColor="text2"/>
        </w:rPr>
        <w:fldChar w:fldCharType="begin"/>
      </w:r>
      <w:r w:rsidRPr="0023234C">
        <w:rPr>
          <w:color w:val="6D6E70" w:themeColor="text2"/>
        </w:rPr>
        <w:instrText xml:space="preserve"> SEQ Figure \* ARABIC </w:instrText>
      </w:r>
      <w:r w:rsidRPr="0023234C">
        <w:rPr>
          <w:color w:val="6D6E70" w:themeColor="text2"/>
        </w:rPr>
        <w:fldChar w:fldCharType="separate"/>
      </w:r>
      <w:r w:rsidRPr="0023234C">
        <w:rPr>
          <w:noProof/>
          <w:color w:val="6D6E70" w:themeColor="text2"/>
        </w:rPr>
        <w:t>3</w:t>
      </w:r>
      <w:r w:rsidRPr="0023234C">
        <w:rPr>
          <w:color w:val="6D6E70" w:themeColor="text2"/>
        </w:rPr>
        <w:fldChar w:fldCharType="end"/>
      </w:r>
      <w:r w:rsidRPr="0023234C" w:rsidR="00DE6672">
        <w:rPr>
          <w:rFonts w:cs="Arial"/>
          <w:color w:val="6D6E70" w:themeColor="text2"/>
        </w:rPr>
        <w:t xml:space="preserve">: </w:t>
      </w:r>
      <w:r w:rsidRPr="0023234C" w:rsidR="00DE6672">
        <w:rPr>
          <w:rFonts w:cs="Arial"/>
          <w:b w:val="0"/>
          <w:color w:val="6D6E70" w:themeColor="text2"/>
        </w:rPr>
        <w:t>GHG emissions (tonnes CO</w:t>
      </w:r>
      <w:r w:rsidRPr="0023234C" w:rsidR="00DE6672">
        <w:rPr>
          <w:rFonts w:cs="Arial"/>
          <w:b w:val="0"/>
          <w:color w:val="6D6E70" w:themeColor="text2"/>
          <w:vertAlign w:val="subscript"/>
        </w:rPr>
        <w:t>2</w:t>
      </w:r>
      <w:r w:rsidRPr="0023234C" w:rsidR="00DE6672">
        <w:rPr>
          <w:rFonts w:cs="Arial"/>
          <w:b w:val="0"/>
          <w:color w:val="6D6E70" w:themeColor="text2"/>
        </w:rPr>
        <w:t>e) by business activity.</w:t>
      </w:r>
      <w:bookmarkEnd w:id="45"/>
    </w:p>
    <w:p w:rsidRPr="002E6C40" w:rsidR="002E6C40" w:rsidP="002E6C40" w:rsidRDefault="002E6C40" w14:paraId="43C92790" w14:textId="77777777"/>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2"/>
          </a:graphicData>
        </a:graphic>
      </wp:inline>
    </w:drawing>
    <w:p w:rsidRPr="00027CE8" w:rsidR="00027CE8" w:rsidP="00F51C0B" w:rsidRDefault="00027CE8" w14:paraId="7422B0E1" w14:textId="124A9DE8">
      <w:pPr>
        <w:pStyle w:val="Caption"/>
        <w:keepNext/>
        <w:keepLines/>
        <w:jc w:val="center"/>
        <w:rPr>
          <w:rFonts w:cs="Arial"/>
          <w:b w:val="0"/>
          <w:color w:val="6D6E70" w:themeColor="text2"/>
        </w:rPr>
      </w:pPr>
      <w:bookmarkStart w:name="_Toc300751929" w:id="46"/>
      <w:r>
        <w:rPr>
          <w:rFonts w:cs="Arial"/>
          <w:b w:val="0"/>
          <w:color w:val="6D6E70" w:themeColor="text2"/>
        </w:rPr>
        <w:t> </w:t>
      </w:r>
      <w:r w:rsidRPr="00027CE8">
        <w:rPr>
          <w:rFonts w:cs="Arial"/>
          <w:b w:val="0"/>
          <w:color w:val="6D6E70" w:themeColor="text2"/>
        </w:rPr>
        <w:t xml:space="preserve"/>
      </w:r>
    </w:p>
    <w:p w:rsidR="00DE6672" w:rsidP="0023234C" w:rsidRDefault="00D929BE" w14:paraId="5A900603" w14:textId="71E89CA0">
      <w:pPr>
        <w:pStyle w:val="Caption"/>
        <w:jc w:val="center"/>
        <w:rPr>
          <w:b w:val="0"/>
          <w:color w:val="6D6E70" w:themeColor="text2"/>
          <w:sz w:val="20"/>
          <w:szCs w:val="20"/>
        </w:rPr>
      </w:pPr>
      <w:r w:rsidRPr="0023234C">
        <w:rPr>
          <w:color w:val="6D6E70" w:themeColor="text2"/>
        </w:rPr>
        <w:t xml:space="preserve">Figure </w:t>
      </w:r>
      <w:r w:rsidRPr="0023234C">
        <w:rPr>
          <w:color w:val="6D6E70" w:themeColor="text2"/>
        </w:rPr>
        <w:fldChar w:fldCharType="begin"/>
      </w:r>
      <w:r w:rsidRPr="0023234C">
        <w:rPr>
          <w:color w:val="6D6E70" w:themeColor="text2"/>
        </w:rPr>
        <w:instrText xml:space="preserve"> SEQ Figure \* ARABIC </w:instrText>
      </w:r>
      <w:r w:rsidRPr="0023234C">
        <w:rPr>
          <w:color w:val="6D6E70" w:themeColor="text2"/>
        </w:rPr>
        <w:fldChar w:fldCharType="separate"/>
      </w:r>
      <w:r w:rsidRPr="0023234C">
        <w:rPr>
          <w:noProof/>
          <w:color w:val="6D6E70" w:themeColor="text2"/>
        </w:rPr>
        <w:t>4</w:t>
      </w:r>
      <w:r w:rsidRPr="0023234C">
        <w:rPr>
          <w:color w:val="6D6E70" w:themeColor="text2"/>
        </w:rPr>
        <w:fldChar w:fldCharType="end"/>
      </w:r>
      <w:r w:rsidRPr="0023234C" w:rsidR="00DE6672">
        <w:rPr>
          <w:rFonts w:cs="Arial"/>
          <w:b w:val="0"/>
          <w:bCs w:val="0"/>
          <w:color w:val="6D6E70" w:themeColor="text2"/>
        </w:rPr>
        <w:t>: GHG emissions sources by source</w:t>
      </w:r>
      <w:r w:rsidRPr="0023234C" w:rsidR="00DE6672">
        <w:rPr>
          <w:b w:val="0"/>
          <w:color w:val="6D6E70" w:themeColor="text2"/>
          <w:sz w:val="20"/>
          <w:szCs w:val="20"/>
        </w:rPr>
        <w:t>.</w:t>
      </w:r>
      <w:bookmarkEnd w:id="46"/>
    </w:p>
    <w:p w:rsidRPr="00A322DD" w:rsidR="00A322DD" w:rsidP="00A322DD" w:rsidRDefault="00A322DD" w14:paraId="3A1DF326" w14:textId="77777777"/>
    <w:p w:rsidR="00DE6672" w:rsidP="002C1195" w:rsidRDefault="00DE6672" w14:paraId="37FE7D46" w14:textId="329C30E8">
      <w:pPr>
        <w:pStyle w:val="BodyText"/>
        <w:rPr>
          <w:szCs w:val="20"/>
        </w:rPr>
      </w:pPr>
      <w:r w:rsidRPr="00881497">
        <w:rPr>
          <w:szCs w:val="20"/>
        </w:rPr>
        <w:t>The inventory report and any GHG assertions are expected to be verified by a Programme-approved, third-party verifier. The level of assurance is reported in a separate Assurance Statement provided to the dir</w:t>
      </w:r>
      <w:r w:rsidR="0023234C">
        <w:rPr>
          <w:szCs w:val="20"/>
        </w:rPr>
        <w:t>ectors of the certified entity.</w:t>
      </w:r>
    </w:p>
    <w:p w:rsidRPr="00881497" w:rsidR="000D4EBC" w:rsidP="002C1195" w:rsidRDefault="000D4EBC" w14:paraId="376652B9" w14:textId="77777777">
      <w:pPr>
        <w:pStyle w:val="BodyText"/>
        <w:rPr>
          <w:szCs w:val="20"/>
        </w:rPr>
      </w:pPr>
    </w:p>
    <w:p w:rsidRPr="00A557E1" w:rsidR="00DE6672" w:rsidP="00A557E1" w:rsidRDefault="00A557E1" w14:paraId="03AC3EBA" w14:textId="431C63AB">
      <w:pPr>
        <w:pStyle w:val="Heading1"/>
      </w:pPr>
      <w:bookmarkStart w:name="_Toc433976133" w:id="47"/>
      <w:r w:rsidRPr="00A557E1">
        <w:t>10</w:t>
      </w:r>
      <w:r w:rsidRPr="00A557E1">
        <w:tab/>
      </w:r>
      <w:r w:rsidRPr="00A557E1" w:rsidR="00DE6672">
        <w:t>GHG emissions reductions and removals enhancement</w:t>
      </w:r>
      <w:bookmarkEnd w:id="47"/>
    </w:p>
    <w:p w:rsidR="00DE6672" w:rsidP="002C1195" w:rsidRDefault="00DE6672" w14:paraId="01EF22A4" w14:textId="4DF44F87">
      <w:pPr>
        <w:pStyle w:val="BodyText"/>
        <w:rPr>
          <w:szCs w:val="20"/>
        </w:rPr>
      </w:pPr>
      <w:r w:rsidRPr="000C5D92">
        <w:rPr>
          <w:szCs w:val="20"/>
        </w:rPr>
        <w:t xml:space="preserve">GHG emissions for the organisation for the current reporting period are detailed in Table 1. </w:t>
      </w:r>
    </w:p>
    <w:p w:rsidR="00DE6672" w:rsidP="002C1195" w:rsidRDefault="00DE6672" w14:paraId="3B4D1309" w14:textId="77777777">
      <w:pPr>
        <w:pStyle w:val="BodyText"/>
        <w:rPr>
          <w:szCs w:val="20"/>
        </w:rPr>
      </w:pPr>
      <w:r w:rsidRPr="000C5D92">
        <w:rPr>
          <w:szCs w:val="20"/>
        </w:rPr>
        <w:t>The organisation will have an updated management plan in place for managing and reducing emissions in the future in order to maintain Programme recertification.</w:t>
      </w:r>
    </w:p>
    <w:p w:rsidRPr="000C5D92" w:rsidR="00ED4246" w:rsidP="002C1195" w:rsidRDefault="00ED4246" w14:paraId="42916496" w14:textId="77777777">
      <w:pPr>
        <w:pStyle w:val="BodyText"/>
        <w:rPr>
          <w:szCs w:val="20"/>
        </w:rPr>
      </w:pPr>
    </w:p>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3"/>
          </a:graphicData>
        </a:graphic>
      </wp:inline>
    </w:drawing>
    <w:p w:rsidRPr="00DD515B" w:rsidR="00DE6672" w:rsidP="00F51C0B" w:rsidRDefault="00F9688F" w14:paraId="16E0170A" w14:textId="3CEC4D20">
      <w:pPr>
        <w:pStyle w:val="BodyText"/>
        <w:keepNext/>
        <w:keepLines/>
        <w:spacing w:before="0" w:line="240" w:lineRule="auto"/>
        <w:jc w:val="center"/>
        <w:rPr>
          <w:color w:val="6D6E70" w:themeColor="text2"/>
          <w:sz w:val="18"/>
          <w:szCs w:val="18"/>
        </w:rPr>
      </w:pPr>
      <w:r>
        <w:rPr>
          <w:color w:val="6D6E70" w:themeColor="text2"/>
          <w:sz w:val="18"/>
          <w:szCs w:val="18"/>
        </w:rPr>
        <w:t> </w:t>
      </w:r>
      <w:r w:rsidRPr="00DD515B" w:rsidR="00DD515B">
        <w:rPr>
          <w:color w:val="6D6E70" w:themeColor="text2"/>
          <w:sz w:val="18"/>
          <w:szCs w:val="18"/>
        </w:rPr>
        <w:t xml:space="preserve"/>
      </w:r>
    </w:p>
    <w:p w:rsidR="00DE6672" w:rsidP="0023234C" w:rsidRDefault="00D929BE" w14:paraId="2DE09B26" w14:textId="77777777">
      <w:pPr>
        <w:pStyle w:val="Caption"/>
        <w:jc w:val="center"/>
        <w:rPr>
          <w:rFonts w:cs="Arial"/>
          <w:b w:val="0"/>
          <w:bCs w:val="0"/>
          <w:color w:val="6D6E70" w:themeColor="text2"/>
        </w:rPr>
      </w:pPr>
      <w:bookmarkStart w:name="_Toc300751930" w:id="48"/>
      <w:r w:rsidRPr="0023234C">
        <w:rPr>
          <w:color w:val="6D6E70" w:themeColor="text2"/>
        </w:rPr>
        <w:t xml:space="preserve">Figure </w:t>
      </w:r>
      <w:r w:rsidRPr="0023234C">
        <w:rPr>
          <w:color w:val="6D6E70" w:themeColor="text2"/>
        </w:rPr>
        <w:fldChar w:fldCharType="begin"/>
      </w:r>
      <w:r w:rsidRPr="0023234C">
        <w:rPr>
          <w:color w:val="6D6E70" w:themeColor="text2"/>
        </w:rPr>
        <w:instrText xml:space="preserve"> SEQ Figure \* ARABIC </w:instrText>
      </w:r>
      <w:r w:rsidRPr="0023234C">
        <w:rPr>
          <w:color w:val="6D6E70" w:themeColor="text2"/>
        </w:rPr>
        <w:fldChar w:fldCharType="separate"/>
      </w:r>
      <w:r w:rsidRPr="0023234C">
        <w:rPr>
          <w:noProof/>
          <w:color w:val="6D6E70" w:themeColor="text2"/>
        </w:rPr>
        <w:t>5</w:t>
      </w:r>
      <w:r w:rsidRPr="0023234C">
        <w:rPr>
          <w:color w:val="6D6E70" w:themeColor="text2"/>
        </w:rPr>
        <w:fldChar w:fldCharType="end"/>
      </w:r>
      <w:r w:rsidRPr="0023234C" w:rsidR="00DE6672">
        <w:rPr>
          <w:rFonts w:cs="Arial"/>
          <w:b w:val="0"/>
          <w:bCs w:val="0"/>
          <w:color w:val="6D6E70" w:themeColor="text2"/>
        </w:rPr>
        <w:t>: Comparison of GHG operational emissions by scope between the reporting periods.</w:t>
      </w:r>
      <w:bookmarkEnd w:id="48"/>
    </w:p>
    <w:p w:rsidRPr="00AC3633" w:rsidR="00AC3633" w:rsidP="00AC3633" w:rsidRDefault="00AC3633" w14:paraId="769A2753" w14:textId="77777777"/>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4"/>
          </a:graphicData>
        </a:graphic>
      </wp:inline>
    </w:drawing>
    <w:p w:rsidRPr="00B402B4" w:rsidR="00DE6672" w:rsidP="00F51C0B" w:rsidRDefault="00AC3633" w14:paraId="1CACC358" w14:textId="6AD29F20">
      <w:pPr>
        <w:pStyle w:val="BodyText"/>
        <w:keepNext/>
        <w:keepLines/>
        <w:spacing w:before="0" w:line="240" w:lineRule="auto"/>
        <w:jc w:val="center"/>
        <w:rPr>
          <w:color w:val="6D6E70" w:themeColor="text2"/>
          <w:sz w:val="18"/>
          <w:szCs w:val="18"/>
        </w:rPr>
      </w:pPr>
      <w:r w:rsidRPr="00B402B4">
        <w:rPr>
          <w:color w:val="6D6E70" w:themeColor="text2"/>
          <w:sz w:val="18"/>
          <w:szCs w:val="18"/>
        </w:rPr>
        <w:t> </w:t>
      </w:r>
      <w:r w:rsidR="00F9688F">
        <w:rPr>
          <w:color w:val="6D6E70" w:themeColor="text2"/>
          <w:sz w:val="18"/>
          <w:szCs w:val="18"/>
        </w:rPr>
        <w:t/>
      </w:r>
      <w:r w:rsidRPr="00B402B4">
        <w:rPr>
          <w:color w:val="6D6E70" w:themeColor="text2"/>
          <w:sz w:val="18"/>
          <w:szCs w:val="18"/>
        </w:rPr>
        <w:t xml:space="preserve"/>
      </w:r>
    </w:p>
    <w:p w:rsidR="00DE6672" w:rsidP="0023234C" w:rsidRDefault="00D929BE" w14:paraId="2ACEC5D6" w14:textId="77777777">
      <w:pPr>
        <w:pStyle w:val="Caption"/>
        <w:jc w:val="center"/>
        <w:rPr>
          <w:rFonts w:cs="Arial"/>
          <w:b w:val="0"/>
          <w:bCs w:val="0"/>
          <w:color w:val="6D6E70" w:themeColor="text2"/>
        </w:rPr>
      </w:pPr>
      <w:bookmarkStart w:name="_Toc300751931" w:id="49"/>
      <w:r w:rsidRPr="0023234C">
        <w:rPr>
          <w:color w:val="6D6E70" w:themeColor="text2"/>
        </w:rPr>
        <w:t xml:space="preserve">Figure </w:t>
      </w:r>
      <w:r w:rsidRPr="0023234C">
        <w:rPr>
          <w:color w:val="6D6E70" w:themeColor="text2"/>
        </w:rPr>
        <w:fldChar w:fldCharType="begin"/>
      </w:r>
      <w:r w:rsidRPr="0023234C">
        <w:rPr>
          <w:color w:val="6D6E70" w:themeColor="text2"/>
        </w:rPr>
        <w:instrText xml:space="preserve"> SEQ Figure \* ARABIC </w:instrText>
      </w:r>
      <w:r w:rsidRPr="0023234C">
        <w:rPr>
          <w:color w:val="6D6E70" w:themeColor="text2"/>
        </w:rPr>
        <w:fldChar w:fldCharType="separate"/>
      </w:r>
      <w:r w:rsidRPr="0023234C">
        <w:rPr>
          <w:noProof/>
          <w:color w:val="6D6E70" w:themeColor="text2"/>
        </w:rPr>
        <w:t>6</w:t>
      </w:r>
      <w:r w:rsidRPr="0023234C">
        <w:rPr>
          <w:color w:val="6D6E70" w:themeColor="text2"/>
        </w:rPr>
        <w:fldChar w:fldCharType="end"/>
      </w:r>
      <w:r w:rsidRPr="0023234C" w:rsidR="00DE6672">
        <w:rPr>
          <w:rFonts w:cs="Arial"/>
          <w:bCs w:val="0"/>
          <w:color w:val="6D6E70" w:themeColor="text2"/>
        </w:rPr>
        <w:t xml:space="preserve">: </w:t>
      </w:r>
      <w:r w:rsidRPr="0023234C" w:rsidR="00DE6672">
        <w:rPr>
          <w:rFonts w:cs="Arial"/>
          <w:b w:val="0"/>
          <w:bCs w:val="0"/>
          <w:color w:val="6D6E70" w:themeColor="text2"/>
        </w:rPr>
        <w:t>Comparison of GHG operational emissions by emissions sources between the reporting periods.</w:t>
      </w:r>
      <w:bookmarkEnd w:id="49"/>
    </w:p>
    <w:p w:rsidRPr="00AC3633" w:rsidR="00AC3633" w:rsidP="00AC3633" w:rsidRDefault="00AC3633" w14:paraId="1292A8D0" w14:textId="77777777"/>
    <w:drawing>
      <wp:inline distT="0" distB="0" distL="0" distR="0" wp14:editId="50D07946">
        <wp:extent cx="5486400" cy="3200400"/>
        <wp:effectExtent l="0" t="0" r="19050" b="19050"/>
        <wp:docPr id="99" name="Chart 9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r:id="rId105"/>
          </a:graphicData>
        </a:graphic>
      </wp:inline>
    </w:drawing>
    <w:p w:rsidRPr="00B402B4" w:rsidR="00DE6672" w:rsidP="00F51C0B" w:rsidRDefault="00AC3633" w14:paraId="5988656D" w14:textId="3D98482F">
      <w:pPr>
        <w:pStyle w:val="BodyText"/>
        <w:keepNext/>
        <w:keepLines/>
        <w:spacing w:before="0" w:line="240" w:lineRule="auto"/>
        <w:jc w:val="center"/>
        <w:rPr>
          <w:color w:val="6D6E70" w:themeColor="text2"/>
          <w:sz w:val="18"/>
          <w:szCs w:val="18"/>
        </w:rPr>
      </w:pPr>
      <w:r w:rsidRPr="00B402B4">
        <w:rPr>
          <w:color w:val="6D6E70" w:themeColor="text2"/>
          <w:sz w:val="18"/>
          <w:szCs w:val="18"/>
        </w:rPr>
        <w:t> </w:t>
      </w:r>
      <w:r w:rsidR="00F9688F">
        <w:rPr>
          <w:color w:val="6D6E70" w:themeColor="text2"/>
          <w:sz w:val="18"/>
          <w:szCs w:val="18"/>
        </w:rPr>
        <w:t/>
      </w:r>
      <w:r w:rsidRPr="00B402B4">
        <w:rPr>
          <w:color w:val="6D6E70" w:themeColor="text2"/>
          <w:sz w:val="18"/>
          <w:szCs w:val="18"/>
        </w:rPr>
        <w:t xml:space="preserve"/>
      </w:r>
    </w:p>
    <w:p w:rsidR="00DE6672" w:rsidP="0023234C" w:rsidRDefault="00D929BE" w14:paraId="60A7F9C3" w14:textId="77777777">
      <w:pPr>
        <w:pStyle w:val="Caption"/>
        <w:jc w:val="center"/>
        <w:rPr>
          <w:rFonts w:cs="Arial"/>
          <w:b w:val="0"/>
          <w:bCs w:val="0"/>
          <w:color w:val="6D6E70" w:themeColor="text2"/>
        </w:rPr>
      </w:pPr>
      <w:bookmarkStart w:name="_Toc300751932" w:id="50"/>
      <w:r w:rsidRPr="0023234C">
        <w:rPr>
          <w:color w:val="6D6E70" w:themeColor="text2"/>
        </w:rPr>
        <w:t xml:space="preserve">Figure </w:t>
      </w:r>
      <w:r w:rsidRPr="0023234C">
        <w:rPr>
          <w:color w:val="6D6E70" w:themeColor="text2"/>
        </w:rPr>
        <w:fldChar w:fldCharType="begin"/>
      </w:r>
      <w:r w:rsidRPr="0023234C">
        <w:rPr>
          <w:color w:val="6D6E70" w:themeColor="text2"/>
        </w:rPr>
        <w:instrText xml:space="preserve"> SEQ Figure \* ARABIC </w:instrText>
      </w:r>
      <w:r w:rsidRPr="0023234C">
        <w:rPr>
          <w:color w:val="6D6E70" w:themeColor="text2"/>
        </w:rPr>
        <w:fldChar w:fldCharType="separate"/>
      </w:r>
      <w:r w:rsidRPr="0023234C">
        <w:rPr>
          <w:noProof/>
          <w:color w:val="6D6E70" w:themeColor="text2"/>
        </w:rPr>
        <w:t>7</w:t>
      </w:r>
      <w:r w:rsidRPr="0023234C">
        <w:rPr>
          <w:color w:val="6D6E70" w:themeColor="text2"/>
        </w:rPr>
        <w:fldChar w:fldCharType="end"/>
      </w:r>
      <w:r w:rsidRPr="0023234C" w:rsidR="00DE6672">
        <w:rPr>
          <w:rFonts w:cs="Arial"/>
          <w:bCs w:val="0"/>
          <w:color w:val="6D6E70" w:themeColor="text2"/>
        </w:rPr>
        <w:t xml:space="preserve">: </w:t>
      </w:r>
      <w:r w:rsidRPr="0023234C" w:rsidR="00DE6672">
        <w:rPr>
          <w:rFonts w:cs="Arial"/>
          <w:b w:val="0"/>
          <w:bCs w:val="0"/>
          <w:color w:val="6D6E70" w:themeColor="text2"/>
        </w:rPr>
        <w:t>Comparison of emissions by business unit between the reporting periods.</w:t>
      </w:r>
      <w:bookmarkEnd w:id="50"/>
    </w:p>
    <w:p w:rsidRPr="007C1B59" w:rsidR="007C1B59" w:rsidP="007C1B59" w:rsidRDefault="007C1B59" w14:paraId="342FE621" w14:textId="77777777"/>
    <w:p w:rsidRPr="00DE6672" w:rsidR="00DE6672" w:rsidP="00A557E1" w:rsidRDefault="00A557E1" w14:paraId="77DE0252" w14:textId="79246A87">
      <w:pPr>
        <w:pStyle w:val="Heading1"/>
      </w:pPr>
      <w:bookmarkStart w:name="_Toc433976134" w:id="51"/>
      <w:r>
        <w:t>11</w:t>
      </w:r>
      <w:r>
        <w:tab/>
      </w:r>
      <w:r w:rsidRPr="00DE6672" w:rsidR="00DE6672">
        <w:t>Liabilities</w:t>
      </w:r>
      <w:bookmarkEnd w:id="51"/>
    </w:p>
    <w:p w:rsidRPr="00DE6672" w:rsidR="00DE6672" w:rsidP="00A557E1" w:rsidRDefault="00A557E1" w14:paraId="1B0BF4DC" w14:textId="0517B8E7">
      <w:pPr>
        <w:pStyle w:val="Heading2"/>
      </w:pPr>
      <w:bookmarkStart w:name="_Toc433976135" w:id="52"/>
      <w:r>
        <w:t>11.1</w:t>
      </w:r>
      <w:r w:rsidRPr="00DE6672" w:rsidR="00DE6672">
        <w:tab/>
        <w:t>GHG stocks held</w:t>
      </w:r>
      <w:r w:rsidR="00D279C7">
        <w:rPr>
          <w:rStyle w:val="FootnoteReference"/>
        </w:rPr>
        <w:footnoteReference w:id="4"/>
      </w:r>
      <w:bookmarkEnd w:id="52"/>
      <w:r w:rsidRPr="00DE6672" w:rsidR="00DE6672">
        <w:t xml:space="preserve"> </w:t>
      </w:r>
    </w:p>
    <w:p w:rsidRPr="00D279C7" w:rsidR="00DE6672" w:rsidP="002C1195" w:rsidRDefault="00DE6672" w14:paraId="34BD5325" w14:textId="77777777">
      <w:pPr>
        <w:pStyle w:val="BodyText"/>
        <w:rPr>
          <w:szCs w:val="20"/>
        </w:rPr>
      </w:pPr>
      <w:r w:rsidRPr="00D279C7">
        <w:rPr>
          <w:szCs w:val="20"/>
        </w:rPr>
        <w:t>HFCs, PFCs and SF</w:t>
      </w:r>
      <w:r w:rsidRPr="00975092">
        <w:rPr>
          <w:szCs w:val="20"/>
          <w:vertAlign w:val="subscript"/>
        </w:rPr>
        <w:t>6</w:t>
      </w:r>
      <w:r w:rsidRPr="00D279C7">
        <w:rPr>
          <w:szCs w:val="20"/>
        </w:rPr>
        <w:t xml:space="preserve"> represent GHGs with high global warming potentials. Their accidental release could result in a large increase in emissions for that year, and therefore the stock holdings are reported under the Programme (Table 13).</w:t>
      </w:r>
    </w:p>
    <w:p w:rsidRPr="00F018E9" w:rsidR="005B048C" w:rsidP="005B048C" w:rsidRDefault="005B048C" w14:paraId="40843469" w14:textId="77777777">
      <w:bookmarkStart w:name="_Toc300752219" w:id="53"/>
      <w:r w:rsidRPr="00F018E9">
        <w:t>GHG stocks have been reported in this inventory and added into the GHG Stock Liability questionnaire.</w:t>
      </w:r>
    </w:p>
    <w:p w:rsidR="004A6288" w:rsidP="0023234C" w:rsidRDefault="00D929BE" w14:paraId="199C234E" w14:textId="77777777">
      <w:pPr>
        <w:pStyle w:val="Caption"/>
        <w:jc w:val="center"/>
        <w:rPr>
          <w:b w:val="0"/>
          <w:color w:val="6D6E70" w:themeColor="text2"/>
        </w:rPr>
      </w:pPr>
      <w:proofErr w:type="gramStart"/>
      <w:r w:rsidRPr="0023234C">
        <w:rPr>
          <w:color w:val="6D6E70" w:themeColor="text2"/>
        </w:rPr>
        <w:t xml:space="preserve">Table </w:t>
      </w:r>
      <w:r w:rsidRPr="0023234C">
        <w:rPr>
          <w:color w:val="6D6E70" w:themeColor="text2"/>
        </w:rPr>
        <w:fldChar w:fldCharType="begin"/>
      </w:r>
      <w:r w:rsidRPr="0023234C">
        <w:rPr>
          <w:color w:val="6D6E70" w:themeColor="text2"/>
        </w:rPr>
        <w:instrText xml:space="preserve"> SEQ Table \* ARABIC </w:instrText>
      </w:r>
      <w:r w:rsidRPr="0023234C">
        <w:rPr>
          <w:color w:val="6D6E70" w:themeColor="text2"/>
        </w:rPr>
        <w:fldChar w:fldCharType="separate"/>
      </w:r>
      <w:r w:rsidRPr="0023234C">
        <w:rPr>
          <w:noProof/>
          <w:color w:val="6D6E70" w:themeColor="text2"/>
        </w:rPr>
        <w:t>13</w:t>
      </w:r>
      <w:r w:rsidRPr="0023234C">
        <w:rPr>
          <w:color w:val="6D6E70" w:themeColor="text2"/>
        </w:rPr>
        <w:fldChar w:fldCharType="end"/>
      </w:r>
      <w:r w:rsidRPr="0023234C" w:rsidR="00DE6672">
        <w:rPr>
          <w:color w:val="6D6E70" w:themeColor="text2"/>
        </w:rPr>
        <w:t xml:space="preserve">: </w:t>
      </w:r>
      <w:r w:rsidRPr="0023234C" w:rsidR="00DE6672">
        <w:rPr>
          <w:b w:val="0"/>
          <w:color w:val="6D6E70" w:themeColor="text2"/>
        </w:rPr>
        <w:t xml:space="preserve">HFCs, PFCs and </w:t>
      </w:r>
      <w:r w:rsidRPr="0023234C" w:rsidR="00DE6672">
        <w:rPr>
          <w:b w:val="0"/>
          <w:color w:val="6D6E70" w:themeColor="text2"/>
        </w:rPr>
        <w:rPr>
          <w:vertAlign w:val="baseline"/>
        </w:rPr>
        <w:t xml:space="preserve">SF</w:t>
      </w:r>
      <w:r w:rsidRPr="0023234C" w:rsidR="00DE6672">
        <w:rPr>
          <w:b w:val="0"/>
          <w:color w:val="6D6E70" w:themeColor="text2"/>
        </w:rPr>
        <w:rPr>
          <w:vertAlign w:val="subscript"/>
        </w:rPr>
        <w:t xml:space="preserve">6</w:t>
      </w:r>
      <w:r w:rsidRPr="0023234C" w:rsidR="00DE6672">
        <w:rPr>
          <w:b w:val="0"/>
          <w:color w:val="6D6E70" w:themeColor="text2"/>
        </w:rPr>
        <w:t xml:space="preserve"> GHG emissions and liabilities.</w:t>
      </w:r>
      <w:bookmarkEnd w:id="53"/>
      <w:proofErr w:type="gramEnd"/>
      <w:r w:rsidRPr="00415003" w:rsidR="00415003">
        <w:rPr>
          <w:b w:val="0"/>
          <w:color w:val="6D6E70" w:themeColor="text2"/>
        </w:rPr>
        <w:t xml:space="preserve"> </w:t>
      </w:r>
    </w:p>
    <w:tbl>
      <w:tblPr>
        <w:jc w:val="center"/>
        <w:tblW w:w="100%"/>
        <w:tblBorders>
          <w:top w:val="basicThinLines" w:sz="1"/>
          <w:bottom w:val="basicThinLines" w:sz="1"/>
          <w:left w:val="basicThinLines" w:sz="1"/>
          <w:right w:val="basicThinLines" w:sz="1"/>
          <w:insideH w:val="basicThinLines" w:sz="1"/>
          <w:insideV w:val="basicThinLines" w:sz="1"/>
        </w:tblBorders>
      </w:tblPr>
      <w:tr>
        <w:trPr>
          <w:tblHeader/>
        </w:trPr>
        <w:tc>
          <w:tcPr>
            <w:shd w:themeFill="text2"/>
            <w:vAlign w:val="top"/>
          </w:tcPr>
          <w:p>
            <w:pPr>
              <w:keepLines/>
              <w:keepNext/>
            </w:pPr>
            <w:r>
              <w:rPr>
                <w:b w:val="true"/>
                <w:color w:themeColor="background1"/>
              </w:rPr>
              <w:t xml:space="preserve">GHG gas</w:t>
            </w:r>
          </w:p>
        </w:tc>
        <w:tc>
          <w:tcPr>
            <w:shd w:themeFill="text2"/>
            <w:vAlign w:val="top"/>
          </w:tcPr>
          <w:p>
            <w:pPr>
              <w:keepLines/>
              <w:keepNext/>
              <w:jc w:val="right"/>
            </w:pPr>
            <w:r>
              <w:rPr>
                <w:b w:val="true"/>
                <w:color w:themeColor="background1"/>
              </w:rPr>
              <w:t xml:space="preserve">Amount held - start of reporting period</w:t>
            </w:r>
          </w:p>
        </w:tc>
        <w:tc>
          <w:tcPr>
            <w:shd w:themeFill="text2"/>
            <w:vAlign w:val="top"/>
          </w:tcPr>
          <w:p>
            <w:pPr>
              <w:keepLines/>
              <w:keepNext/>
              <w:jc w:val="right"/>
            </w:pPr>
            <w:r>
              <w:rPr>
                <w:b w:val="true"/>
                <w:color w:themeColor="background1"/>
              </w:rPr>
              <w:t xml:space="preserve">Amount held - end of reporting period</w:t>
            </w:r>
          </w:p>
        </w:tc>
        <w:tc>
          <w:tcPr>
            <w:shd w:themeFill="text2"/>
            <w:vAlign w:val="top"/>
          </w:tcPr>
          <w:p>
            <w:pPr>
              <w:keepLines/>
              <w:keepNext/>
              <w:jc w:val="right"/>
            </w:pPr>
            <w:r>
              <w:rPr>
                <w:b w:val="true"/>
                <w:color w:themeColor="background1"/>
              </w:rPr>
              <w:t xml:space="preserve">Potential Liability t</w:t>
            </w:r>
            <w:r>
              <w:rPr>
                <w:b w:val="true"/>
                <w:color w:themeColor="background1"/>
              </w:rPr>
              <w:rPr>
                <w:vertAlign w:val="baseline"/>
              </w:rPr>
              <w:t xml:space="preserve">CO</w:t>
            </w:r>
            <w:r>
              <w:rPr>
                <w:b w:val="true"/>
                <w:color w:themeColor="background1"/>
              </w:rPr>
              <w:rPr>
                <w:vertAlign w:val="subscript"/>
              </w:rPr>
              <w:t xml:space="preserve">2</w:t>
            </w:r>
            <w:r>
              <w:rPr>
                <w:b w:val="true"/>
                <w:color w:themeColor="background1"/>
              </w:rPr>
              <w:t xml:space="preserve">e</w:t>
            </w:r>
          </w:p>
        </w:tc>
      </w:tr>
      <w:tr>
        <w:tc>
          <w:tcPr>
            <w:vAlign w:val="top"/>
          </w:tcPr>
          <w:p>
            <w:pPr>
              <w:keepLines/>
            </w:pPr>
            <w:r>
              <w:rPr/>
              <w:t xml:space="preserve">R-410A</w:t>
            </w:r>
          </w:p>
        </w:tc>
        <w:tc>
          <w:tcPr>
            <w:vAlign w:val="top"/>
          </w:tcPr>
          <w:p>
            <w:pPr>
              <w:keepLines/>
              <w:jc w:val="right"/>
            </w:pPr>
            <w:r>
              <w:rPr/>
              <w:t xml:space="preserve">1.80</w:t>
            </w:r>
          </w:p>
        </w:tc>
        <w:tc>
          <w:tcPr>
            <w:vAlign w:val="top"/>
          </w:tcPr>
          <w:p>
            <w:pPr>
              <w:keepLines/>
              <w:jc w:val="right"/>
            </w:pPr>
            <w:r>
              <w:rPr/>
              <w:t xml:space="preserve">1.80</w:t>
            </w:r>
          </w:p>
        </w:tc>
        <w:tc>
          <w:tcPr>
            <w:vAlign w:val="top"/>
          </w:tcPr>
          <w:p>
            <w:pPr>
              <w:keepLines/>
              <w:jc w:val="right"/>
            </w:pPr>
            <w:r>
              <w:rPr/>
              <w:t xml:space="preserve">3.76</w:t>
            </w:r>
          </w:p>
        </w:tc>
      </w:tr>
      <w:tr>
        <w:tc>
          <w:tcPr>
            <w:vAlign w:val="top"/>
          </w:tcPr>
          <w:p>
            <w:pPr>
              <w:keepLines/>
            </w:pPr>
            <w:r>
              <w:rPr/>
              <w:t xml:space="preserve">Total</w:t>
            </w:r>
          </w:p>
        </w:tc>
        <w:tc>
          <w:tcPr>
            <w:vAlign w:val="top"/>
          </w:tcPr>
          <w:p>
            <w:pPr>
              <w:keepLines/>
              <w:jc w:val="right"/>
            </w:pPr>
            <w:r>
              <w:rPr/>
              <w:t xml:space="preserve">1.80</w:t>
            </w:r>
          </w:p>
        </w:tc>
        <w:tc>
          <w:tcPr>
            <w:vAlign w:val="top"/>
          </w:tcPr>
          <w:p>
            <w:pPr>
              <w:keepLines/>
              <w:jc w:val="right"/>
            </w:pPr>
            <w:r>
              <w:rPr/>
              <w:t xml:space="preserve">1.80</w:t>
            </w:r>
          </w:p>
        </w:tc>
        <w:tc>
          <w:tcPr>
            <w:vAlign w:val="top"/>
          </w:tcPr>
          <w:p>
            <w:pPr>
              <w:keepLines/>
              <w:jc w:val="right"/>
            </w:pPr>
            <w:r>
              <w:rPr/>
              <w:t xml:space="preserve">3.76</w:t>
            </w:r>
          </w:p>
        </w:tc>
      </w:tr>
    </w:tbl>
    <w:p w:rsidRPr="00082EE7" w:rsidR="00082EE7" w:rsidP="00975092" w:rsidRDefault="00082EE7" w14:paraId="2E34F3F8" w14:textId="77777777">
      <w:pPr>
        <w:spacing w:line="240" w:lineRule="auto"/>
      </w:pPr>
    </w:p>
    <w:p w:rsidRPr="00DE6672" w:rsidR="00DE6672" w:rsidP="00A557E1" w:rsidRDefault="00A557E1" w14:paraId="3DB66261" w14:textId="7A1D3322">
      <w:pPr>
        <w:pStyle w:val="Heading2"/>
      </w:pPr>
      <w:bookmarkStart w:name="_Toc433976136" w:id="54"/>
      <w:r>
        <w:t>11.2</w:t>
      </w:r>
      <w:r w:rsidRPr="00DE6672" w:rsidR="00DE6672">
        <w:tab/>
        <w:t>Land-use change</w:t>
      </w:r>
      <w:bookmarkEnd w:id="54"/>
    </w:p>
    <w:p w:rsidRPr="00810AD3" w:rsidR="00DE6672" w:rsidP="002C1195" w:rsidRDefault="00DE6672" w14:paraId="18E8EFE5" w14:textId="77777777">
      <w:pPr>
        <w:pStyle w:val="BodyText"/>
        <w:rPr>
          <w:szCs w:val="20"/>
        </w:rPr>
      </w:pPr>
      <w:r w:rsidRPr="00810AD3">
        <w:rPr>
          <w:szCs w:val="20"/>
        </w:rPr>
        <w:t>Organisations that own land subject to land-use change may achieve sequestration of carbon dioxide through a change in the carbon stock on that land. Where a sequestration is claimed, then this also represents a liability in future years should fire, flood or other management activities release the stored carbon.</w:t>
      </w:r>
    </w:p>
    <w:p w:rsidR="00415003" w:rsidP="002C1195" w:rsidRDefault="00415003" w14:paraId="6A227BA1" w14:textId="47EDC952">
      <w:pPr>
        <w:pStyle w:val="BodyText"/>
        <w:rPr>
          <w:color w:val="000000" w:themeColor="text1"/>
        </w:rPr>
      </w:pPr>
      <w:r>
        <w:rPr>
          <w:color w:val="000000" w:themeColor="text1"/>
        </w:rPr>
        <w:t>Land-use change has not been included in this inventory.</w:t>
      </w:r>
    </w:p>
    <w:p w:rsidRPr="00DE6672" w:rsidR="000D4EBC" w:rsidP="002C1195" w:rsidRDefault="000D4EBC" w14:paraId="32CF9174" w14:textId="77777777">
      <w:pPr>
        <w:pStyle w:val="BodyText"/>
      </w:pPr>
    </w:p>
    <w:p w:rsidRPr="00DE6672" w:rsidR="00DE6672" w:rsidP="00A557E1" w:rsidRDefault="00A557E1" w14:paraId="317FAE1A" w14:textId="4D3F888D">
      <w:pPr>
        <w:pStyle w:val="Heading1"/>
      </w:pPr>
      <w:bookmarkStart w:name="_Toc433976137" w:id="55"/>
      <w:r>
        <w:t>12</w:t>
      </w:r>
      <w:r>
        <w:tab/>
      </w:r>
      <w:r w:rsidRPr="00DE6672" w:rsidR="00DE6672">
        <w:t>Purchased reductions</w:t>
      </w:r>
      <w:bookmarkEnd w:id="55"/>
    </w:p>
    <w:p w:rsidRPr="00082EE7" w:rsidR="00DE6672" w:rsidP="002C1195" w:rsidRDefault="00DE6672" w14:paraId="0A46DFB5" w14:textId="77777777">
      <w:pPr>
        <w:pStyle w:val="BodyText"/>
        <w:rPr>
          <w:szCs w:val="20"/>
        </w:rPr>
      </w:pPr>
      <w:r w:rsidRPr="00082EE7">
        <w:rPr>
          <w:szCs w:val="20"/>
        </w:rPr>
        <w:t>Purchased reductions could include certified “green” electricity, verified offsets or other carbon-neutral-certified services. Organisations may choose to voluntarily purchase carbon credits (or offsets) or green electricity that meets the eligibility criteria set by a regulatory authority. The reported gross emissions may not be reduced through the purchase of offsets or green tariff electricity.</w:t>
      </w:r>
    </w:p>
    <w:p w:rsidR="000D4EBC" w:rsidP="00415003" w:rsidRDefault="000D4EBC" w14:paraId="600BCB28" w14:textId="77777777"/>
    <w:p w:rsidRPr="00DE6672" w:rsidR="00DE6672" w:rsidP="00A557E1" w:rsidRDefault="00A557E1" w14:paraId="41A0A406" w14:textId="196663F7">
      <w:pPr>
        <w:pStyle w:val="Heading1"/>
      </w:pPr>
      <w:bookmarkStart w:name="_Toc433976138" w:id="56"/>
      <w:r>
        <w:t>13</w:t>
      </w:r>
      <w:r>
        <w:tab/>
      </w:r>
      <w:r w:rsidRPr="00DE6672" w:rsidR="00DE6672">
        <w:t>Double counting / double offsetting</w:t>
      </w:r>
      <w:bookmarkEnd w:id="56"/>
    </w:p>
    <w:p w:rsidRPr="00082EE7" w:rsidR="00DE6672" w:rsidP="002C1195" w:rsidRDefault="00DE6672" w14:paraId="4AC16088" w14:textId="77777777">
      <w:pPr>
        <w:pStyle w:val="BodyText"/>
        <w:rPr>
          <w:szCs w:val="20"/>
        </w:rPr>
      </w:pPr>
      <w:r w:rsidRPr="00082EE7">
        <w:rPr>
          <w:szCs w:val="20"/>
        </w:rPr>
        <w:t>Double counting/offsetting refers to situations where:</w:t>
      </w:r>
    </w:p>
    <w:p w:rsidRPr="00082EE7" w:rsidR="00DE6672" w:rsidP="00975092" w:rsidRDefault="00DE6672" w14:paraId="77A11FE3" w14:textId="77777777">
      <w:pPr>
        <w:pStyle w:val="BodyText"/>
        <w:ind w:left="709" w:hanging="425"/>
        <w:rPr>
          <w:szCs w:val="20"/>
        </w:rPr>
      </w:pPr>
      <w:r w:rsidRPr="00082EE7">
        <w:rPr>
          <w:szCs w:val="20"/>
        </w:rPr>
        <w:t>•</w:t>
      </w:r>
      <w:r w:rsidRPr="00082EE7">
        <w:rPr>
          <w:szCs w:val="20"/>
        </w:rPr>
        <w:tab/>
        <w:t>Parts of the organisation have been prior offset.</w:t>
      </w:r>
    </w:p>
    <w:p w:rsidRPr="00082EE7" w:rsidR="00DE6672" w:rsidP="00975092" w:rsidRDefault="00DE6672" w14:paraId="7B514989" w14:textId="77777777">
      <w:pPr>
        <w:pStyle w:val="BodyText"/>
        <w:ind w:left="709" w:hanging="425"/>
        <w:rPr>
          <w:szCs w:val="20"/>
        </w:rPr>
      </w:pPr>
      <w:r w:rsidRPr="00082EE7">
        <w:rPr>
          <w:szCs w:val="20"/>
        </w:rPr>
        <w:t>•</w:t>
      </w:r>
      <w:r w:rsidRPr="00082EE7">
        <w:rPr>
          <w:szCs w:val="20"/>
        </w:rPr>
        <w:tab/>
        <w:t>The same emissions sources have been reported (and offset) in both organisation and product.</w:t>
      </w:r>
    </w:p>
    <w:p w:rsidRPr="00082EE7" w:rsidR="00DE6672" w:rsidP="00975092" w:rsidRDefault="00DE6672" w14:paraId="787F198F" w14:textId="77777777">
      <w:pPr>
        <w:pStyle w:val="BodyText"/>
        <w:ind w:left="709" w:hanging="425"/>
        <w:rPr>
          <w:szCs w:val="20"/>
        </w:rPr>
      </w:pPr>
      <w:r w:rsidRPr="00082EE7">
        <w:rPr>
          <w:szCs w:val="20"/>
        </w:rPr>
        <w:t>•</w:t>
      </w:r>
      <w:r w:rsidRPr="00082EE7">
        <w:rPr>
          <w:szCs w:val="20"/>
        </w:rPr>
        <w:tab/>
        <w:t>Emissions have been included and potentially offset in the GHG emissions inventories of two different organisations, e.g. a company and one of its suppliers/contractors. This is particularly relevant to indirect (Scope 2 and 3) emissions sources.</w:t>
      </w:r>
    </w:p>
    <w:p w:rsidRPr="00082EE7" w:rsidR="00DE6672" w:rsidP="00975092" w:rsidRDefault="00DE6672" w14:paraId="3F04687A" w14:textId="77777777">
      <w:pPr>
        <w:pStyle w:val="BodyText"/>
        <w:ind w:left="709" w:hanging="425"/>
        <w:rPr>
          <w:szCs w:val="20"/>
        </w:rPr>
      </w:pPr>
      <w:r w:rsidRPr="00082EE7">
        <w:rPr>
          <w:szCs w:val="20"/>
        </w:rPr>
        <w:t>•</w:t>
      </w:r>
      <w:r w:rsidRPr="00082EE7">
        <w:rPr>
          <w:szCs w:val="20"/>
        </w:rPr>
        <w:tab/>
        <w:t>The organisation generates renewable electricity, uses or exports the electricity and claims the carbon benefits.</w:t>
      </w:r>
    </w:p>
    <w:p w:rsidRPr="00082EE7" w:rsidR="00DE6672" w:rsidP="00975092" w:rsidRDefault="00DE6672" w14:paraId="2728EEF5" w14:textId="77777777">
      <w:pPr>
        <w:pStyle w:val="BodyText"/>
        <w:ind w:left="709" w:hanging="425"/>
        <w:rPr>
          <w:szCs w:val="20"/>
        </w:rPr>
      </w:pPr>
      <w:r w:rsidRPr="00082EE7">
        <w:rPr>
          <w:szCs w:val="20"/>
        </w:rPr>
        <w:t>•</w:t>
      </w:r>
      <w:r w:rsidRPr="00082EE7">
        <w:rPr>
          <w:szCs w:val="20"/>
        </w:rPr>
        <w:tab/>
        <w:t>Emissions reductions are counted as removals in an organisation’s GHG emissions inventory and are counted or used as offsets/carbon credits by another organisation.</w:t>
      </w:r>
    </w:p>
    <w:p w:rsidR="000D4EBC" w:rsidP="006324FE" w:rsidRDefault="000D4EBC" w14:paraId="3F7DAA54" w14:textId="77777777"/>
    <w:p w:rsidRPr="00DE6672" w:rsidR="00DE6672" w:rsidP="00A557E1" w:rsidRDefault="00A557E1" w14:paraId="68C7D0C9" w14:textId="0815ACF0">
      <w:pPr>
        <w:pStyle w:val="Heading1"/>
      </w:pPr>
      <w:bookmarkStart w:name="_Toc433976139" w:id="57"/>
      <w:r>
        <w:t>14</w:t>
      </w:r>
      <w:r>
        <w:tab/>
      </w:r>
      <w:r w:rsidRPr="00DE6672" w:rsidR="00DE6672">
        <w:t>References</w:t>
      </w:r>
      <w:bookmarkEnd w:id="57"/>
    </w:p>
    <w:p w:rsidRPr="00082EE7" w:rsidR="00DE6672" w:rsidP="002C1195" w:rsidRDefault="00DE6672" w14:paraId="54A192F9" w14:textId="77777777">
      <w:pPr>
        <w:pStyle w:val="BodyText"/>
        <w:rPr>
          <w:szCs w:val="20"/>
        </w:rPr>
      </w:pPr>
      <w:proofErr w:type="gramStart"/>
      <w:r w:rsidRPr="00082EE7">
        <w:rPr>
          <w:szCs w:val="20"/>
        </w:rPr>
        <w:t>International Organization for Standardization, 2006.</w:t>
      </w:r>
      <w:proofErr w:type="gramEnd"/>
      <w:r w:rsidRPr="00082EE7">
        <w:rPr>
          <w:szCs w:val="20"/>
        </w:rPr>
        <w:t xml:space="preserve"> ISO14064-1:2006. Greenhouse gases – Part 1: Specification with guidance at the organisation level for quantification and reporting of greenhouse gas GHG emissions and removals. ISO: Geneva, Switzerland. </w:t>
      </w:r>
    </w:p>
    <w:p w:rsidR="00082EE7" w:rsidP="002C1195" w:rsidRDefault="00DE6672" w14:paraId="19F944DA" w14:textId="7447D264">
      <w:pPr>
        <w:pStyle w:val="BodyText"/>
        <w:rPr>
          <w:szCs w:val="20"/>
        </w:rPr>
      </w:pPr>
      <w:r w:rsidRPr="00082EE7">
        <w:rPr>
          <w:szCs w:val="20"/>
        </w:rPr>
        <w:t>World Resources Institute and World Business Council for Sustainable Development, 2004 (revised). The Greenhouse Gas Protocol: A Corporate Accounting and Reporting Standard. WBCSD: Geneva, Switzerland.</w:t>
      </w:r>
    </w:p>
    <w:p w:rsidRPr="00082EE7" w:rsidR="000D4EBC" w:rsidP="002C1195" w:rsidRDefault="000D4EBC" w14:paraId="52FC2877" w14:textId="77777777">
      <w:pPr>
        <w:pStyle w:val="BodyText"/>
        <w:rPr>
          <w:szCs w:val="20"/>
        </w:rPr>
      </w:pPr>
    </w:p>
    <w:p w:rsidRPr="00DE6672" w:rsidR="00DE6672" w:rsidP="00A557E1" w:rsidRDefault="00DE6672" w14:paraId="0AD31346" w14:textId="77777777">
      <w:pPr>
        <w:pStyle w:val="Heading1"/>
      </w:pPr>
      <w:bookmarkStart w:name="_Toc433976140" w:id="58"/>
      <w:r w:rsidRPr="00DE6672">
        <w:t>Appendix 1: GHG emissions data summary</w:t>
      </w:r>
      <w:bookmarkEnd w:id="58"/>
    </w:p>
    <w:p w:rsidR="001565B3" w:rsidP="001565B3" w:rsidRDefault="00DE6672" w14:paraId="199AEA80" w14:textId="77777777">
      <w:pPr>
        <w:rPr>
          <w:szCs w:val="20"/>
        </w:rPr>
      </w:pPr>
      <w:r w:rsidRPr="00082EE7">
        <w:rPr>
          <w:szCs w:val="20"/>
        </w:rPr>
        <w:t>More GHG emissions data is available on the accompanying spreadsheet</w:t>
      </w:r>
      <w:r w:rsidR="001565B3">
        <w:rPr>
          <w:szCs w:val="20"/>
        </w:rPr>
        <w:t>(s)</w:t>
      </w:r>
      <w:r w:rsidRPr="00082EE7">
        <w:rPr>
          <w:szCs w:val="20"/>
        </w:rPr>
        <w:t xml:space="preserve"> to this report</w:t>
      </w:r>
      <w:r w:rsidR="001565B3">
        <w:rPr>
          <w:szCs w:val="20"/>
        </w:rPr>
        <w:t xml:space="preserve">: </w:t>
      </w:r>
    </w:p>
    <w:p w:rsidRPr="00DE6672" w:rsidR="009D5F3B" w:rsidP="00FD4341" w:rsidRDefault="001565B3" w14:paraId="01097A96" w14:textId="7FA82E9D">
      <w:r>
        <w:lastRenderedPageBreak/>
        <w:t>CEMARS data 2015 2016.xlsx</w:t>
      </w:r>
    </w:p>
    <w:sectPr w:rsidRPr="00DE6672" w:rsidR="009D5F3B" w:rsidSect="00C13176">
      <w:headerReference w:type="default" r:id="rId18"/>
      <w:footerReference w:type="default" r:id="rId19"/>
      <w:type w:val="continuous"/>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07AEC" w14:textId="77777777" w:rsidR="007A0F9E" w:rsidRDefault="007A0F9E" w:rsidP="00950E37">
      <w:pPr>
        <w:spacing w:line="240" w:lineRule="auto"/>
      </w:pPr>
      <w:r>
        <w:separator/>
      </w:r>
    </w:p>
  </w:endnote>
  <w:endnote w:type="continuationSeparator" w:id="0">
    <w:p w14:paraId="7A36BD2A" w14:textId="77777777" w:rsidR="007A0F9E" w:rsidRDefault="007A0F9E" w:rsidP="00950E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B76C" w14:textId="407F2A70" w:rsidR="00997C65" w:rsidRPr="00997C65" w:rsidRDefault="00997C65" w:rsidP="00997C65">
    <w:pPr>
      <w:rPr>
        <w:sz w:val="18"/>
      </w:rPr>
    </w:pPr>
    <w:r w:rsidRPr="00997C65">
      <w:rPr>
        <w:color w:val="999999"/>
        <w:sz w:val="18"/>
        <w:szCs w:val="20"/>
      </w:rPr>
      <w:t>CZHCL04 EIR template v2.1</w:t>
    </w:r>
    <w:r w:rsidRPr="00997C65">
      <w:rPr>
        <w:color w:val="999999"/>
        <w:sz w:val="18"/>
        <w:szCs w:val="20"/>
      </w:rPr>
      <w:tab/>
    </w:r>
    <w:r>
      <w:rPr>
        <w:color w:val="999999"/>
        <w:sz w:val="18"/>
        <w:szCs w:val="20"/>
      </w:rPr>
      <w:tab/>
    </w:r>
    <w:r>
      <w:rPr>
        <w:color w:val="999999"/>
        <w:sz w:val="18"/>
        <w:szCs w:val="20"/>
      </w:rPr>
      <w:tab/>
    </w:r>
    <w:r w:rsidRPr="00997C65">
      <w:rPr>
        <w:color w:val="999999"/>
        <w:sz w:val="18"/>
        <w:szCs w:val="20"/>
      </w:rPr>
      <w:t>©Enviro-Mark Solutions Limited 2014</w:t>
    </w:r>
    <w:r w:rsidRPr="00997C65">
      <w:rPr>
        <w:color w:val="999999"/>
        <w:sz w:val="18"/>
        <w:szCs w:val="20"/>
      </w:rPr>
      <w:tab/>
    </w:r>
    <w:r w:rsidRPr="00997C65">
      <w:rPr>
        <w:color w:val="999999"/>
        <w:sz w:val="18"/>
        <w:szCs w:val="20"/>
      </w:rPr>
      <w:tab/>
    </w:r>
    <w:r>
      <w:rPr>
        <w:color w:val="999999"/>
        <w:sz w:val="18"/>
        <w:szCs w:val="20"/>
      </w:rPr>
      <w:tab/>
    </w:r>
    <w:r w:rsidRPr="00997C65">
      <w:rPr>
        <w:sz w:val="18"/>
      </w:rPr>
      <w:tab/>
    </w:r>
    <w:r w:rsidRPr="00997C65">
      <w:rPr>
        <w:color w:val="999999"/>
        <w:sz w:val="18"/>
        <w:szCs w:val="20"/>
      </w:rPr>
      <w:t xml:space="preserve">Page </w:t>
    </w:r>
    <w:r w:rsidRPr="00997C65">
      <w:rPr>
        <w:color w:val="999999"/>
        <w:sz w:val="18"/>
        <w:szCs w:val="20"/>
      </w:rPr>
      <w:fldChar w:fldCharType="begin"/>
    </w:r>
    <w:r w:rsidRPr="00997C65">
      <w:rPr>
        <w:color w:val="999999"/>
        <w:sz w:val="18"/>
        <w:szCs w:val="20"/>
      </w:rPr>
      <w:instrText xml:space="preserve"> PAGE </w:instrText>
    </w:r>
    <w:r w:rsidRPr="00997C65">
      <w:rPr>
        <w:color w:val="999999"/>
        <w:sz w:val="18"/>
        <w:szCs w:val="20"/>
      </w:rPr>
      <w:fldChar w:fldCharType="separate"/>
    </w:r>
    <w:r w:rsidR="000B78DD">
      <w:rPr>
        <w:noProof/>
        <w:color w:val="999999"/>
        <w:sz w:val="18"/>
        <w:szCs w:val="20"/>
      </w:rPr>
      <w:t>4</w:t>
    </w:r>
    <w:r w:rsidRPr="00997C65">
      <w:rPr>
        <w:color w:val="999999"/>
        <w:sz w:val="18"/>
        <w:szCs w:val="20"/>
      </w:rPr>
      <w:fldChar w:fldCharType="end"/>
    </w:r>
    <w:r w:rsidRPr="00997C65">
      <w:rPr>
        <w:color w:val="999999"/>
        <w:sz w:val="18"/>
        <w:szCs w:val="20"/>
      </w:rPr>
      <w:t xml:space="preserve"> of </w:t>
    </w:r>
    <w:r w:rsidRPr="00997C65">
      <w:rPr>
        <w:color w:val="999999"/>
        <w:sz w:val="18"/>
        <w:szCs w:val="20"/>
      </w:rPr>
      <w:fldChar w:fldCharType="begin"/>
    </w:r>
    <w:r w:rsidRPr="00997C65">
      <w:rPr>
        <w:color w:val="999999"/>
        <w:sz w:val="18"/>
        <w:szCs w:val="20"/>
      </w:rPr>
      <w:instrText xml:space="preserve"> NUMPAGES  </w:instrText>
    </w:r>
    <w:r w:rsidRPr="00997C65">
      <w:rPr>
        <w:color w:val="999999"/>
        <w:sz w:val="18"/>
        <w:szCs w:val="20"/>
      </w:rPr>
      <w:fldChar w:fldCharType="separate"/>
    </w:r>
    <w:r w:rsidR="000B78DD">
      <w:rPr>
        <w:noProof/>
        <w:color w:val="999999"/>
        <w:sz w:val="18"/>
        <w:szCs w:val="20"/>
      </w:rPr>
      <w:t>11</w:t>
    </w:r>
    <w:r w:rsidRPr="00997C65">
      <w:rPr>
        <w:color w:val="999999"/>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83675" w14:textId="067DFB7A" w:rsidR="00997C65" w:rsidRDefault="00997C65">
    <w:pPr>
      <w:pStyle w:val="Footer"/>
    </w:pPr>
    <w:r>
      <w:rPr>
        <w:noProof/>
      </w:rPr>
      <w:drawing>
        <wp:anchor distT="0" distB="0" distL="114300" distR="114300" simplePos="0" relativeHeight="251661312" behindDoc="0" locked="0" layoutInCell="1" allowOverlap="1" wp14:anchorId="2A252A0C" wp14:editId="37F01386">
          <wp:simplePos x="0" y="0"/>
          <wp:positionH relativeFrom="column">
            <wp:posOffset>-778847</wp:posOffset>
          </wp:positionH>
          <wp:positionV relativeFrom="paragraph">
            <wp:posOffset>-3520069</wp:posOffset>
          </wp:positionV>
          <wp:extent cx="7314572" cy="3744460"/>
          <wp:effectExtent l="0" t="0" r="63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Lincoln\Teams A-E\carboNZero\CZ Marketing\Branding &amp; Style\Parent branding\Office templates\image files\energy cover.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7080" t="69788" b="178"/>
                  <a:stretch/>
                </pic:blipFill>
                <pic:spPr bwMode="auto">
                  <a:xfrm>
                    <a:off x="0" y="0"/>
                    <a:ext cx="7314572" cy="3744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08FFA" w14:textId="25D2F8A9" w:rsidR="00997C65" w:rsidRPr="00997C65" w:rsidRDefault="00997C65" w:rsidP="00997C65">
    <w:pPr>
      <w:rPr>
        <w:sz w:val="18"/>
      </w:rPr>
    </w:pPr>
    <w:r w:rsidRPr="00997C65">
      <w:rPr>
        <w:color w:val="999999"/>
        <w:sz w:val="18"/>
        <w:szCs w:val="20"/>
      </w:rPr>
      <w:t>CZHCL04 EIR template v2.1</w:t>
    </w:r>
    <w:r w:rsidRPr="00997C65">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sidRPr="00997C65">
      <w:rPr>
        <w:color w:val="999999"/>
        <w:sz w:val="18"/>
        <w:szCs w:val="20"/>
      </w:rPr>
      <w:t>©Enviro-Mark Solutions Limited 2014</w:t>
    </w:r>
    <w:r w:rsidRPr="00997C65">
      <w:rPr>
        <w:color w:val="999999"/>
        <w:sz w:val="18"/>
        <w:szCs w:val="20"/>
      </w:rPr>
      <w:tab/>
    </w:r>
    <w:r w:rsidRPr="00997C65">
      <w:rPr>
        <w:color w:val="999999"/>
        <w:sz w:val="18"/>
        <w:szCs w:val="20"/>
      </w:rPr>
      <w:tab/>
    </w:r>
    <w:r>
      <w:rPr>
        <w:color w:val="999999"/>
        <w:sz w:val="18"/>
        <w:szCs w:val="20"/>
      </w:rPr>
      <w:tab/>
    </w:r>
    <w:r>
      <w:rPr>
        <w:color w:val="999999"/>
        <w:sz w:val="18"/>
        <w:szCs w:val="20"/>
      </w:rPr>
      <w:tab/>
    </w:r>
    <w:r>
      <w:rPr>
        <w:color w:val="999999"/>
        <w:sz w:val="18"/>
        <w:szCs w:val="20"/>
      </w:rPr>
      <w:tab/>
    </w:r>
    <w:r>
      <w:rPr>
        <w:color w:val="999999"/>
        <w:sz w:val="18"/>
        <w:szCs w:val="20"/>
      </w:rPr>
      <w:tab/>
    </w:r>
    <w:r w:rsidRPr="00997C65">
      <w:rPr>
        <w:sz w:val="18"/>
      </w:rPr>
      <w:tab/>
    </w:r>
    <w:r w:rsidRPr="00997C65">
      <w:rPr>
        <w:color w:val="999999"/>
        <w:sz w:val="18"/>
        <w:szCs w:val="20"/>
      </w:rPr>
      <w:t xml:space="preserve">Page </w:t>
    </w:r>
    <w:r w:rsidRPr="00997C65">
      <w:rPr>
        <w:color w:val="999999"/>
        <w:sz w:val="18"/>
        <w:szCs w:val="20"/>
      </w:rPr>
      <w:fldChar w:fldCharType="begin"/>
    </w:r>
    <w:r w:rsidRPr="00997C65">
      <w:rPr>
        <w:color w:val="999999"/>
        <w:sz w:val="18"/>
        <w:szCs w:val="20"/>
      </w:rPr>
      <w:instrText xml:space="preserve"> PAGE </w:instrText>
    </w:r>
    <w:r w:rsidRPr="00997C65">
      <w:rPr>
        <w:color w:val="999999"/>
        <w:sz w:val="18"/>
        <w:szCs w:val="20"/>
      </w:rPr>
      <w:fldChar w:fldCharType="separate"/>
    </w:r>
    <w:r w:rsidR="000B78DD">
      <w:rPr>
        <w:noProof/>
        <w:color w:val="999999"/>
        <w:sz w:val="18"/>
        <w:szCs w:val="20"/>
      </w:rPr>
      <w:t>7</w:t>
    </w:r>
    <w:r w:rsidRPr="00997C65">
      <w:rPr>
        <w:color w:val="999999"/>
        <w:sz w:val="18"/>
        <w:szCs w:val="20"/>
      </w:rPr>
      <w:fldChar w:fldCharType="end"/>
    </w:r>
    <w:r w:rsidRPr="00997C65">
      <w:rPr>
        <w:color w:val="999999"/>
        <w:sz w:val="18"/>
        <w:szCs w:val="20"/>
      </w:rPr>
      <w:t xml:space="preserve"> of </w:t>
    </w:r>
    <w:r w:rsidRPr="00997C65">
      <w:rPr>
        <w:color w:val="999999"/>
        <w:sz w:val="18"/>
        <w:szCs w:val="20"/>
      </w:rPr>
      <w:fldChar w:fldCharType="begin"/>
    </w:r>
    <w:r w:rsidRPr="00997C65">
      <w:rPr>
        <w:color w:val="999999"/>
        <w:sz w:val="18"/>
        <w:szCs w:val="20"/>
      </w:rPr>
      <w:instrText xml:space="preserve"> NUMPAGES  </w:instrText>
    </w:r>
    <w:r w:rsidRPr="00997C65">
      <w:rPr>
        <w:color w:val="999999"/>
        <w:sz w:val="18"/>
        <w:szCs w:val="20"/>
      </w:rPr>
      <w:fldChar w:fldCharType="separate"/>
    </w:r>
    <w:r w:rsidR="000B78DD">
      <w:rPr>
        <w:noProof/>
        <w:color w:val="999999"/>
        <w:sz w:val="18"/>
        <w:szCs w:val="20"/>
      </w:rPr>
      <w:t>7</w:t>
    </w:r>
    <w:r w:rsidRPr="00997C65">
      <w:rPr>
        <w:color w:val="999999"/>
        <w:sz w:val="18"/>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25C99" w14:textId="77777777" w:rsidR="00997C65" w:rsidRPr="00997C65" w:rsidRDefault="00997C65" w:rsidP="00997C65">
    <w:pPr>
      <w:rPr>
        <w:sz w:val="18"/>
      </w:rPr>
    </w:pPr>
    <w:r w:rsidRPr="00997C65">
      <w:rPr>
        <w:color w:val="999999"/>
        <w:sz w:val="18"/>
        <w:szCs w:val="20"/>
      </w:rPr>
      <w:t>CZHCL04 EIR template v2.1</w:t>
    </w:r>
    <w:r w:rsidRPr="00997C65">
      <w:rPr>
        <w:color w:val="999999"/>
        <w:sz w:val="18"/>
        <w:szCs w:val="20"/>
      </w:rPr>
      <w:tab/>
    </w:r>
    <w:r>
      <w:rPr>
        <w:color w:val="999999"/>
        <w:sz w:val="18"/>
        <w:szCs w:val="20"/>
      </w:rPr>
      <w:tab/>
    </w:r>
    <w:r>
      <w:rPr>
        <w:color w:val="999999"/>
        <w:sz w:val="18"/>
        <w:szCs w:val="20"/>
      </w:rPr>
      <w:tab/>
    </w:r>
    <w:r w:rsidRPr="00997C65">
      <w:rPr>
        <w:color w:val="999999"/>
        <w:sz w:val="18"/>
        <w:szCs w:val="20"/>
      </w:rPr>
      <w:t>©Enviro-Mark Solutions Limited 2014</w:t>
    </w:r>
    <w:r w:rsidRPr="00997C65">
      <w:rPr>
        <w:color w:val="999999"/>
        <w:sz w:val="18"/>
        <w:szCs w:val="20"/>
      </w:rPr>
      <w:tab/>
    </w:r>
    <w:r w:rsidRPr="00997C65">
      <w:rPr>
        <w:color w:val="999999"/>
        <w:sz w:val="18"/>
        <w:szCs w:val="20"/>
      </w:rPr>
      <w:tab/>
    </w:r>
    <w:r>
      <w:rPr>
        <w:color w:val="999999"/>
        <w:sz w:val="18"/>
        <w:szCs w:val="20"/>
      </w:rPr>
      <w:tab/>
    </w:r>
    <w:r w:rsidRPr="00997C65">
      <w:rPr>
        <w:sz w:val="18"/>
      </w:rPr>
      <w:tab/>
    </w:r>
    <w:r w:rsidRPr="00997C65">
      <w:rPr>
        <w:color w:val="999999"/>
        <w:sz w:val="18"/>
        <w:szCs w:val="20"/>
      </w:rPr>
      <w:t xml:space="preserve">Page </w:t>
    </w:r>
    <w:r w:rsidRPr="00997C65">
      <w:rPr>
        <w:color w:val="999999"/>
        <w:sz w:val="18"/>
        <w:szCs w:val="20"/>
      </w:rPr>
      <w:fldChar w:fldCharType="begin"/>
    </w:r>
    <w:r w:rsidRPr="00997C65">
      <w:rPr>
        <w:color w:val="999999"/>
        <w:sz w:val="18"/>
        <w:szCs w:val="20"/>
      </w:rPr>
      <w:instrText xml:space="preserve"> PAGE </w:instrText>
    </w:r>
    <w:r w:rsidRPr="00997C65">
      <w:rPr>
        <w:color w:val="999999"/>
        <w:sz w:val="18"/>
        <w:szCs w:val="20"/>
      </w:rPr>
      <w:fldChar w:fldCharType="separate"/>
    </w:r>
    <w:r w:rsidR="000B78DD">
      <w:rPr>
        <w:noProof/>
        <w:color w:val="999999"/>
        <w:sz w:val="18"/>
        <w:szCs w:val="20"/>
      </w:rPr>
      <w:t>11</w:t>
    </w:r>
    <w:r w:rsidRPr="00997C65">
      <w:rPr>
        <w:color w:val="999999"/>
        <w:sz w:val="18"/>
        <w:szCs w:val="20"/>
      </w:rPr>
      <w:fldChar w:fldCharType="end"/>
    </w:r>
    <w:r w:rsidRPr="00997C65">
      <w:rPr>
        <w:color w:val="999999"/>
        <w:sz w:val="18"/>
        <w:szCs w:val="20"/>
      </w:rPr>
      <w:t xml:space="preserve"> of </w:t>
    </w:r>
    <w:r w:rsidRPr="00997C65">
      <w:rPr>
        <w:color w:val="999999"/>
        <w:sz w:val="18"/>
        <w:szCs w:val="20"/>
      </w:rPr>
      <w:fldChar w:fldCharType="begin"/>
    </w:r>
    <w:r w:rsidRPr="00997C65">
      <w:rPr>
        <w:color w:val="999999"/>
        <w:sz w:val="18"/>
        <w:szCs w:val="20"/>
      </w:rPr>
      <w:instrText xml:space="preserve"> NUMPAGES  </w:instrText>
    </w:r>
    <w:r w:rsidRPr="00997C65">
      <w:rPr>
        <w:color w:val="999999"/>
        <w:sz w:val="18"/>
        <w:szCs w:val="20"/>
      </w:rPr>
      <w:fldChar w:fldCharType="separate"/>
    </w:r>
    <w:r w:rsidR="000B78DD">
      <w:rPr>
        <w:noProof/>
        <w:color w:val="999999"/>
        <w:sz w:val="18"/>
        <w:szCs w:val="20"/>
      </w:rPr>
      <w:t>11</w:t>
    </w:r>
    <w:r w:rsidRPr="00997C65">
      <w:rPr>
        <w:color w:val="999999"/>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DEBE5B" w14:textId="77777777" w:rsidR="007A0F9E" w:rsidRDefault="007A0F9E" w:rsidP="00950E37">
      <w:pPr>
        <w:spacing w:line="240" w:lineRule="auto"/>
      </w:pPr>
      <w:r>
        <w:separator/>
      </w:r>
    </w:p>
  </w:footnote>
  <w:footnote w:type="continuationSeparator" w:id="0">
    <w:p w14:paraId="4E4E187E" w14:textId="77777777" w:rsidR="007A0F9E" w:rsidRDefault="007A0F9E" w:rsidP="00950E37">
      <w:pPr>
        <w:spacing w:line="240" w:lineRule="auto"/>
      </w:pPr>
      <w:r>
        <w:continuationSeparator/>
      </w:r>
    </w:p>
  </w:footnote>
  <w:footnote w:id="1">
    <w:p w14:paraId="09D04819" w14:textId="77777777" w:rsidR="00997C65" w:rsidRPr="003E6EF5" w:rsidRDefault="00997C65">
      <w:pPr>
        <w:pStyle w:val="FootnoteText"/>
        <w:rPr>
          <w:sz w:val="16"/>
          <w:szCs w:val="16"/>
          <w:lang w:val="en-NZ"/>
        </w:rPr>
      </w:pPr>
      <w:r w:rsidRPr="003E6EF5">
        <w:rPr>
          <w:rStyle w:val="FootnoteReference"/>
          <w:rFonts w:ascii="Calibri" w:hAnsi="Calibri"/>
          <w:sz w:val="16"/>
          <w:szCs w:val="16"/>
        </w:rPr>
        <w:footnoteRef/>
      </w:r>
      <w:r w:rsidRPr="003E6EF5">
        <w:rPr>
          <w:sz w:val="16"/>
          <w:szCs w:val="16"/>
        </w:rPr>
        <w:t xml:space="preserve"> </w:t>
      </w:r>
      <w:r w:rsidRPr="003E6EF5">
        <w:rPr>
          <w:rFonts w:cs="Arial"/>
          <w:sz w:val="16"/>
          <w:szCs w:val="16"/>
        </w:rPr>
        <w:t>Throughout this document “emissions” means “GHG emissions”.</w:t>
      </w:r>
    </w:p>
  </w:footnote>
  <w:footnote w:id="2">
    <w:p w14:paraId="166A9B03" w14:textId="77777777" w:rsidR="00997C65" w:rsidRPr="003E6EF5" w:rsidRDefault="00997C65">
      <w:pPr>
        <w:pStyle w:val="FootnoteText"/>
        <w:rPr>
          <w:sz w:val="16"/>
          <w:szCs w:val="16"/>
          <w:lang w:val="en-NZ"/>
        </w:rPr>
      </w:pPr>
      <w:r w:rsidRPr="003E6EF5">
        <w:rPr>
          <w:rStyle w:val="FootnoteReference"/>
          <w:rFonts w:ascii="Calibri" w:hAnsi="Calibri"/>
          <w:sz w:val="16"/>
          <w:szCs w:val="16"/>
        </w:rPr>
        <w:footnoteRef/>
      </w:r>
      <w:r w:rsidRPr="003E6EF5">
        <w:rPr>
          <w:sz w:val="16"/>
          <w:szCs w:val="16"/>
        </w:rPr>
        <w:t xml:space="preserve"> </w:t>
      </w:r>
      <w:proofErr w:type="spellStart"/>
      <w:r w:rsidRPr="003E6EF5">
        <w:rPr>
          <w:rFonts w:cs="Arial"/>
          <w:sz w:val="16"/>
          <w:szCs w:val="16"/>
        </w:rPr>
        <w:t>Programme</w:t>
      </w:r>
      <w:proofErr w:type="spellEnd"/>
      <w:r w:rsidRPr="003E6EF5">
        <w:rPr>
          <w:rFonts w:cs="Arial"/>
          <w:sz w:val="16"/>
          <w:szCs w:val="16"/>
        </w:rPr>
        <w:t xml:space="preserve"> refers to the Certified Emissions Measurement </w:t>
      </w:r>
      <w:proofErr w:type="gramStart"/>
      <w:r w:rsidRPr="003E6EF5">
        <w:rPr>
          <w:rFonts w:cs="Arial"/>
          <w:sz w:val="16"/>
          <w:szCs w:val="16"/>
        </w:rPr>
        <w:t>And</w:t>
      </w:r>
      <w:proofErr w:type="gramEnd"/>
      <w:r w:rsidRPr="003E6EF5">
        <w:rPr>
          <w:rFonts w:cs="Arial"/>
          <w:sz w:val="16"/>
          <w:szCs w:val="16"/>
        </w:rPr>
        <w:t xml:space="preserve"> Reduction Scheme (CEMARS) and the </w:t>
      </w:r>
      <w:proofErr w:type="spellStart"/>
      <w:r w:rsidRPr="003E6EF5">
        <w:rPr>
          <w:rFonts w:cs="Arial"/>
          <w:sz w:val="16"/>
          <w:szCs w:val="16"/>
        </w:rPr>
        <w:t>carboNZero</w:t>
      </w:r>
      <w:proofErr w:type="spellEnd"/>
      <w:r w:rsidRPr="003E6EF5">
        <w:rPr>
          <w:rFonts w:cs="Arial"/>
          <w:sz w:val="16"/>
          <w:szCs w:val="16"/>
        </w:rPr>
        <w:t xml:space="preserve"> </w:t>
      </w:r>
      <w:proofErr w:type="spellStart"/>
      <w:r w:rsidRPr="003E6EF5">
        <w:rPr>
          <w:rFonts w:cs="Arial"/>
          <w:sz w:val="16"/>
          <w:szCs w:val="16"/>
        </w:rPr>
        <w:t>programme</w:t>
      </w:r>
      <w:proofErr w:type="spellEnd"/>
      <w:r w:rsidRPr="003E6EF5">
        <w:rPr>
          <w:rFonts w:cs="Arial"/>
          <w:sz w:val="16"/>
          <w:szCs w:val="16"/>
        </w:rPr>
        <w:t>.</w:t>
      </w:r>
    </w:p>
  </w:footnote>
  <w:footnote w:id="3">
    <w:p w14:paraId="12C970D9" w14:textId="77777777" w:rsidR="00997C65" w:rsidRPr="003E6EF5" w:rsidRDefault="00997C65">
      <w:pPr>
        <w:pStyle w:val="FootnoteText"/>
        <w:rPr>
          <w:lang w:val="en-NZ"/>
        </w:rPr>
      </w:pPr>
      <w:r w:rsidRPr="003E6EF5">
        <w:rPr>
          <w:rStyle w:val="FootnoteReference"/>
          <w:rFonts w:ascii="Calibri" w:hAnsi="Calibri"/>
          <w:sz w:val="16"/>
          <w:szCs w:val="16"/>
        </w:rPr>
        <w:footnoteRef/>
      </w:r>
      <w:r w:rsidRPr="003E6EF5">
        <w:rPr>
          <w:sz w:val="16"/>
          <w:szCs w:val="16"/>
        </w:rPr>
        <w:t xml:space="preserve"> </w:t>
      </w:r>
      <w:r w:rsidRPr="003E6EF5">
        <w:rPr>
          <w:rFonts w:cs="Arial"/>
          <w:sz w:val="16"/>
          <w:szCs w:val="16"/>
        </w:rPr>
        <w:t xml:space="preserve">Throughout this document ’GHG </w:t>
      </w:r>
      <w:proofErr w:type="gramStart"/>
      <w:r w:rsidRPr="003E6EF5">
        <w:rPr>
          <w:rFonts w:cs="Arial"/>
          <w:sz w:val="16"/>
          <w:szCs w:val="16"/>
        </w:rPr>
        <w:t>Protocol‘ means</w:t>
      </w:r>
      <w:proofErr w:type="gramEnd"/>
      <w:r w:rsidRPr="003E6EF5">
        <w:rPr>
          <w:rFonts w:cs="Arial"/>
          <w:sz w:val="16"/>
          <w:szCs w:val="16"/>
        </w:rPr>
        <w:t xml:space="preserve"> the </w:t>
      </w:r>
      <w:r w:rsidRPr="003E6EF5">
        <w:rPr>
          <w:rFonts w:cs="Arial"/>
          <w:i/>
          <w:sz w:val="16"/>
          <w:szCs w:val="16"/>
        </w:rPr>
        <w:t>GHG Protocol Corporate Accounting and Reporting Standard</w:t>
      </w:r>
      <w:r w:rsidRPr="003E6EF5">
        <w:rPr>
          <w:rFonts w:cs="Arial"/>
          <w:sz w:val="16"/>
          <w:szCs w:val="16"/>
        </w:rPr>
        <w:t xml:space="preserve"> and ’ISO 14064-1:2006’ means the international standard </w:t>
      </w:r>
      <w:r w:rsidRPr="003E6EF5">
        <w:rPr>
          <w:rFonts w:cs="Arial"/>
          <w:i/>
          <w:sz w:val="16"/>
          <w:szCs w:val="16"/>
        </w:rPr>
        <w:t>Specification with Guidance at the Organizational Level for Quantification and Reporting of Greenhouse Gas Emissions and Removals</w:t>
      </w:r>
      <w:r w:rsidRPr="003E6EF5">
        <w:rPr>
          <w:rFonts w:cs="Arial"/>
          <w:sz w:val="16"/>
          <w:szCs w:val="16"/>
        </w:rPr>
        <w:t>.</w:t>
      </w:r>
    </w:p>
  </w:footnote>
  <w:footnote w:id="4">
    <w:p w14:paraId="54FAF57F" w14:textId="77777777" w:rsidR="00997C65" w:rsidRPr="00D279C7" w:rsidRDefault="00997C65">
      <w:pPr>
        <w:pStyle w:val="FootnoteText"/>
        <w:rPr>
          <w:sz w:val="16"/>
          <w:szCs w:val="16"/>
          <w:lang w:val="en-NZ"/>
        </w:rPr>
      </w:pPr>
      <w:r w:rsidRPr="00D279C7">
        <w:rPr>
          <w:rStyle w:val="FootnoteReference"/>
          <w:rFonts w:ascii="Calibri" w:hAnsi="Calibri"/>
          <w:sz w:val="16"/>
          <w:szCs w:val="16"/>
        </w:rPr>
        <w:footnoteRef/>
      </w:r>
      <w:r w:rsidRPr="00D279C7">
        <w:rPr>
          <w:sz w:val="16"/>
          <w:szCs w:val="16"/>
        </w:rPr>
        <w:t xml:space="preserve"> </w:t>
      </w:r>
      <w:r w:rsidRPr="00D279C7">
        <w:rPr>
          <w:rFonts w:cs="Arial"/>
          <w:sz w:val="16"/>
          <w:szCs w:val="16"/>
        </w:rPr>
        <w:t>HFC stock liabilities for systems under 3 kg can be excluded.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7724E" w14:textId="1A731C5A" w:rsidR="00997C65" w:rsidRPr="00C13176" w:rsidRDefault="00997C65" w:rsidP="00C13176">
    <w:pPr>
      <w:pStyle w:val="Header"/>
    </w:pPr>
    <w:r>
      <w:rPr>
        <w:noProof/>
      </w:rPr>
      <w:drawing>
        <wp:anchor distT="0" distB="0" distL="114300" distR="114300" simplePos="0" relativeHeight="251659264" behindDoc="0" locked="0" layoutInCell="1" allowOverlap="1" wp14:anchorId="04DF14D5" wp14:editId="0DAE46BE">
          <wp:simplePos x="0" y="0"/>
          <wp:positionH relativeFrom="column">
            <wp:posOffset>4675505</wp:posOffset>
          </wp:positionH>
          <wp:positionV relativeFrom="paragraph">
            <wp:posOffset>-280488</wp:posOffset>
          </wp:positionV>
          <wp:extent cx="2045335" cy="8782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5B843" w14:textId="77777777" w:rsidR="00997C65" w:rsidRPr="00C13176" w:rsidRDefault="00997C65" w:rsidP="00C13176">
    <w:pPr>
      <w:pStyle w:val="Header"/>
    </w:pPr>
    <w:r>
      <w:rPr>
        <w:noProof/>
      </w:rPr>
      <w:drawing>
        <wp:anchor distT="0" distB="0" distL="114300" distR="114300" simplePos="0" relativeHeight="251663360" behindDoc="0" locked="0" layoutInCell="1" allowOverlap="1" wp14:anchorId="3B4AE47E" wp14:editId="794ABFA7">
          <wp:simplePos x="0" y="0"/>
          <wp:positionH relativeFrom="column">
            <wp:posOffset>7742555</wp:posOffset>
          </wp:positionH>
          <wp:positionV relativeFrom="paragraph">
            <wp:posOffset>-280035</wp:posOffset>
          </wp:positionV>
          <wp:extent cx="2045335" cy="87820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9FB82" w14:textId="77777777" w:rsidR="00997C65" w:rsidRPr="00C13176" w:rsidRDefault="00997C65" w:rsidP="00C13176">
    <w:pPr>
      <w:pStyle w:val="Header"/>
    </w:pPr>
    <w:r>
      <w:rPr>
        <w:noProof/>
      </w:rPr>
      <w:drawing>
        <wp:anchor distT="0" distB="0" distL="114300" distR="114300" simplePos="0" relativeHeight="251665408" behindDoc="0" locked="0" layoutInCell="1" allowOverlap="1" wp14:anchorId="34028CD5" wp14:editId="60E1A2B7">
          <wp:simplePos x="0" y="0"/>
          <wp:positionH relativeFrom="column">
            <wp:posOffset>4675505</wp:posOffset>
          </wp:positionH>
          <wp:positionV relativeFrom="paragraph">
            <wp:posOffset>-280488</wp:posOffset>
          </wp:positionV>
          <wp:extent cx="2045335" cy="87820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878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34C7B0"/>
    <w:lvl w:ilvl="0">
      <w:start w:val="1"/>
      <w:numFmt w:val="decimal"/>
      <w:lvlText w:val="%1."/>
      <w:lvlJc w:val="left"/>
      <w:pPr>
        <w:tabs>
          <w:tab w:val="num" w:pos="1492"/>
        </w:tabs>
        <w:ind w:left="1492" w:hanging="360"/>
      </w:pPr>
    </w:lvl>
  </w:abstractNum>
  <w:abstractNum w:abstractNumId="1">
    <w:nsid w:val="FFFFFF7D"/>
    <w:multiLevelType w:val="singleLevel"/>
    <w:tmpl w:val="1AF822DE"/>
    <w:lvl w:ilvl="0">
      <w:start w:val="1"/>
      <w:numFmt w:val="decimal"/>
      <w:lvlText w:val="%1."/>
      <w:lvlJc w:val="left"/>
      <w:pPr>
        <w:tabs>
          <w:tab w:val="num" w:pos="1209"/>
        </w:tabs>
        <w:ind w:left="1209" w:hanging="360"/>
      </w:pPr>
    </w:lvl>
  </w:abstractNum>
  <w:abstractNum w:abstractNumId="2">
    <w:nsid w:val="FFFFFF7E"/>
    <w:multiLevelType w:val="singleLevel"/>
    <w:tmpl w:val="F9725248"/>
    <w:lvl w:ilvl="0">
      <w:start w:val="1"/>
      <w:numFmt w:val="decimal"/>
      <w:lvlText w:val="%1."/>
      <w:lvlJc w:val="left"/>
      <w:pPr>
        <w:tabs>
          <w:tab w:val="num" w:pos="926"/>
        </w:tabs>
        <w:ind w:left="926" w:hanging="360"/>
      </w:pPr>
    </w:lvl>
  </w:abstractNum>
  <w:abstractNum w:abstractNumId="3">
    <w:nsid w:val="FFFFFF7F"/>
    <w:multiLevelType w:val="singleLevel"/>
    <w:tmpl w:val="94BC829C"/>
    <w:lvl w:ilvl="0">
      <w:start w:val="1"/>
      <w:numFmt w:val="decimal"/>
      <w:lvlText w:val="%1."/>
      <w:lvlJc w:val="left"/>
      <w:pPr>
        <w:tabs>
          <w:tab w:val="num" w:pos="643"/>
        </w:tabs>
        <w:ind w:left="643" w:hanging="360"/>
      </w:pPr>
    </w:lvl>
  </w:abstractNum>
  <w:abstractNum w:abstractNumId="4">
    <w:nsid w:val="FFFFFF80"/>
    <w:multiLevelType w:val="singleLevel"/>
    <w:tmpl w:val="A73638A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0AFE7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3F462C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76C90C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34ADAC"/>
    <w:lvl w:ilvl="0">
      <w:start w:val="1"/>
      <w:numFmt w:val="decimal"/>
      <w:lvlText w:val="%1."/>
      <w:lvlJc w:val="left"/>
      <w:pPr>
        <w:tabs>
          <w:tab w:val="num" w:pos="360"/>
        </w:tabs>
        <w:ind w:left="360" w:hanging="360"/>
      </w:pPr>
    </w:lvl>
  </w:abstractNum>
  <w:abstractNum w:abstractNumId="9">
    <w:nsid w:val="FFFFFF89"/>
    <w:multiLevelType w:val="singleLevel"/>
    <w:tmpl w:val="92B47504"/>
    <w:lvl w:ilvl="0">
      <w:start w:val="1"/>
      <w:numFmt w:val="bullet"/>
      <w:lvlText w:val=""/>
      <w:lvlJc w:val="left"/>
      <w:pPr>
        <w:tabs>
          <w:tab w:val="num" w:pos="360"/>
        </w:tabs>
        <w:ind w:left="360" w:hanging="360"/>
      </w:pPr>
      <w:rPr>
        <w:rFonts w:ascii="Symbol" w:hAnsi="Symbol" w:hint="default"/>
      </w:rPr>
    </w:lvl>
  </w:abstractNum>
  <w:abstractNum w:abstractNumId="10">
    <w:nsid w:val="016F2430"/>
    <w:multiLevelType w:val="multilevel"/>
    <w:tmpl w:val="37F048C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0978035B"/>
    <w:multiLevelType w:val="hybridMultilevel"/>
    <w:tmpl w:val="D79618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nsid w:val="0EF757B7"/>
    <w:multiLevelType w:val="multilevel"/>
    <w:tmpl w:val="78EEB4B2"/>
    <w:lvl w:ilvl="0">
      <w:start w:val="1"/>
      <w:numFmt w:val="decimal"/>
      <w:lvlText w:val="%1"/>
      <w:lvlJc w:val="left"/>
      <w:pPr>
        <w:ind w:left="432" w:hanging="432"/>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121853E2"/>
    <w:multiLevelType w:val="hybridMultilevel"/>
    <w:tmpl w:val="D324980A"/>
    <w:lvl w:ilvl="0" w:tplc="2AF8B8F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AB6DC8"/>
    <w:multiLevelType w:val="multilevel"/>
    <w:tmpl w:val="6BD4225A"/>
    <w:lvl w:ilvl="0">
      <w:start w:val="1"/>
      <w:numFmt w:val="bullet"/>
      <w:lvlText w:val=""/>
      <w:lvlJc w:val="left"/>
      <w:pPr>
        <w:tabs>
          <w:tab w:val="num" w:pos="567"/>
        </w:tabs>
        <w:ind w:left="567" w:hanging="567"/>
      </w:pPr>
      <w:rPr>
        <w:rFonts w:ascii="Wingdings" w:hAnsi="Wingdings" w:hint="default"/>
        <w:sz w:val="18"/>
      </w:rPr>
    </w:lvl>
    <w:lvl w:ilvl="1">
      <w:start w:val="1"/>
      <w:numFmt w:val="bullet"/>
      <w:lvlText w:val="o"/>
      <w:lvlJc w:val="left"/>
      <w:pPr>
        <w:tabs>
          <w:tab w:val="num" w:pos="1134"/>
        </w:tabs>
        <w:ind w:left="1134" w:hanging="567"/>
      </w:pPr>
      <w:rPr>
        <w:rFonts w:ascii="Courier New" w:hAnsi="Courier New" w:hint="default"/>
      </w:rPr>
    </w:lvl>
    <w:lvl w:ilvl="2">
      <w:start w:val="1"/>
      <w:numFmt w:val="bullet"/>
      <w:lvlText w:val=""/>
      <w:lvlJc w:val="left"/>
      <w:pPr>
        <w:tabs>
          <w:tab w:val="num" w:pos="1701"/>
        </w:tabs>
        <w:ind w:left="1701" w:hanging="567"/>
      </w:pPr>
      <w:rPr>
        <w:rFonts w:ascii="Wingdings" w:hAnsi="Wingdings"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o"/>
      <w:lvlJc w:val="left"/>
      <w:pPr>
        <w:tabs>
          <w:tab w:val="num" w:pos="4536"/>
        </w:tabs>
        <w:ind w:left="4536" w:hanging="567"/>
      </w:pPr>
      <w:rPr>
        <w:rFonts w:ascii="Courier New" w:hAnsi="Courier New" w:hint="default"/>
      </w:rPr>
    </w:lvl>
    <w:lvl w:ilvl="8">
      <w:start w:val="1"/>
      <w:numFmt w:val="bullet"/>
      <w:lvlText w:val=""/>
      <w:lvlJc w:val="left"/>
      <w:pPr>
        <w:tabs>
          <w:tab w:val="num" w:pos="5103"/>
        </w:tabs>
        <w:ind w:left="5103" w:hanging="567"/>
      </w:pPr>
      <w:rPr>
        <w:rFonts w:ascii="Wingdings" w:hAnsi="Wingdings" w:hint="default"/>
      </w:rPr>
    </w:lvl>
  </w:abstractNum>
  <w:abstractNum w:abstractNumId="15">
    <w:nsid w:val="2F99457A"/>
    <w:multiLevelType w:val="hybridMultilevel"/>
    <w:tmpl w:val="955094E6"/>
    <w:lvl w:ilvl="0" w:tplc="6AE2E5A2">
      <w:start w:val="1"/>
      <w:numFmt w:val="bullet"/>
      <w:lvlText w:val=""/>
      <w:lvlJc w:val="left"/>
      <w:pPr>
        <w:ind w:left="720" w:hanging="360"/>
      </w:pPr>
      <w:rPr>
        <w:rFonts w:ascii="Symbol" w:hAnsi="Symbol" w:hint="default"/>
      </w:rPr>
    </w:lvl>
    <w:lvl w:ilvl="1" w:tplc="CF58DEBA">
      <w:start w:val="1"/>
      <w:numFmt w:val="bullet"/>
      <w:lvlText w:val=""/>
      <w:lvlJc w:val="left"/>
      <w:pPr>
        <w:ind w:left="1440" w:hanging="360"/>
      </w:pPr>
      <w:rPr>
        <w:rFonts w:ascii="Symbol" w:hAnsi="Symbol" w:hint="default"/>
      </w:rPr>
    </w:lvl>
    <w:lvl w:ilvl="2" w:tplc="8884AA76">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1A1565"/>
    <w:multiLevelType w:val="multilevel"/>
    <w:tmpl w:val="B4DE49E4"/>
    <w:lvl w:ilvl="0">
      <w:start w:val="1"/>
      <w:numFmt w:val="bullet"/>
      <w:lvlText w:val=""/>
      <w:lvlJc w:val="left"/>
      <w:pPr>
        <w:tabs>
          <w:tab w:val="num" w:pos="360"/>
        </w:tabs>
        <w:ind w:left="357" w:hanging="357"/>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1C7295B"/>
    <w:multiLevelType w:val="multilevel"/>
    <w:tmpl w:val="1409001F"/>
    <w:lvl w:ilvl="0">
      <w:start w:val="1"/>
      <w:numFmt w:val="decimal"/>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DCE6192"/>
    <w:multiLevelType w:val="multilevel"/>
    <w:tmpl w:val="37ECAF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nsid w:val="62297F7A"/>
    <w:multiLevelType w:val="hybridMultilevel"/>
    <w:tmpl w:val="408EE2CE"/>
    <w:lvl w:ilvl="0" w:tplc="ED603E0A">
      <w:start w:val="1"/>
      <w:numFmt w:val="decimal"/>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nsid w:val="63D94171"/>
    <w:multiLevelType w:val="multilevel"/>
    <w:tmpl w:val="5A9C8AE0"/>
    <w:lvl w:ilvl="0">
      <w:start w:val="1"/>
      <w:numFmt w:val="decimal"/>
      <w:lvlText w:val="%1."/>
      <w:lvlJc w:val="left"/>
      <w:pPr>
        <w:tabs>
          <w:tab w:val="num" w:pos="567"/>
        </w:tabs>
        <w:ind w:left="567" w:hanging="567"/>
      </w:pPr>
      <w:rPr>
        <w:rFonts w:hint="default"/>
        <w:sz w:val="20"/>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119"/>
        </w:tabs>
        <w:ind w:left="3119" w:hanging="567"/>
      </w:pPr>
      <w:rPr>
        <w:rFonts w:hint="default"/>
      </w:rPr>
    </w:lvl>
    <w:lvl w:ilvl="5">
      <w:start w:val="1"/>
      <w:numFmt w:val="decimal"/>
      <w:lvlText w:val="%1.%2.%3.%4.%5.%6."/>
      <w:lvlJc w:val="left"/>
      <w:pPr>
        <w:tabs>
          <w:tab w:val="num" w:pos="3686"/>
        </w:tabs>
        <w:ind w:left="3686" w:hanging="851"/>
      </w:pPr>
      <w:rPr>
        <w:rFonts w:hint="default"/>
      </w:rPr>
    </w:lvl>
    <w:lvl w:ilvl="6">
      <w:start w:val="1"/>
      <w:numFmt w:val="decimal"/>
      <w:lvlText w:val="%1.%2.%3.%4.%5.%6.%7."/>
      <w:lvlJc w:val="left"/>
      <w:pPr>
        <w:tabs>
          <w:tab w:val="num" w:pos="4253"/>
        </w:tabs>
        <w:ind w:left="4253" w:hanging="851"/>
      </w:pPr>
      <w:rPr>
        <w:rFonts w:hint="default"/>
      </w:rPr>
    </w:lvl>
    <w:lvl w:ilvl="7">
      <w:start w:val="1"/>
      <w:numFmt w:val="decimal"/>
      <w:lvlText w:val="%1.%2.%3.%4.%5.%6.%7.%8."/>
      <w:lvlJc w:val="left"/>
      <w:pPr>
        <w:tabs>
          <w:tab w:val="num" w:pos="4820"/>
        </w:tabs>
        <w:ind w:left="4820" w:hanging="851"/>
      </w:pPr>
      <w:rPr>
        <w:rFonts w:hint="default"/>
      </w:rPr>
    </w:lvl>
    <w:lvl w:ilvl="8">
      <w:start w:val="1"/>
      <w:numFmt w:val="decimal"/>
      <w:lvlText w:val="%1.%2.%3.%4.%5.%6.%7.%8.%9."/>
      <w:lvlJc w:val="left"/>
      <w:pPr>
        <w:tabs>
          <w:tab w:val="num" w:pos="5387"/>
        </w:tabs>
        <w:ind w:left="5387" w:hanging="851"/>
      </w:pPr>
      <w:rPr>
        <w:rFonts w:hint="default"/>
      </w:rPr>
    </w:lvl>
  </w:abstractNum>
  <w:abstractNum w:abstractNumId="21">
    <w:nsid w:val="747C0463"/>
    <w:multiLevelType w:val="multilevel"/>
    <w:tmpl w:val="1409001F"/>
    <w:lvl w:ilvl="0">
      <w:start w:val="1"/>
      <w:numFmt w:val="decimal"/>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5C71A9F"/>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D32239"/>
    <w:multiLevelType w:val="multilevel"/>
    <w:tmpl w:val="0BD2C3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7"/>
  </w:num>
  <w:num w:numId="13">
    <w:abstractNumId w:val="20"/>
  </w:num>
  <w:num w:numId="14">
    <w:abstractNumId w:val="14"/>
  </w:num>
  <w:num w:numId="15">
    <w:abstractNumId w:val="20"/>
  </w:num>
  <w:num w:numId="16">
    <w:abstractNumId w:val="16"/>
  </w:num>
  <w:num w:numId="17">
    <w:abstractNumId w:val="7"/>
  </w:num>
  <w:num w:numId="18">
    <w:abstractNumId w:val="20"/>
  </w:num>
  <w:num w:numId="19">
    <w:abstractNumId w:val="14"/>
  </w:num>
  <w:num w:numId="20">
    <w:abstractNumId w:val="20"/>
  </w:num>
  <w:num w:numId="21">
    <w:abstractNumId w:val="10"/>
  </w:num>
  <w:num w:numId="22">
    <w:abstractNumId w:val="13"/>
  </w:num>
  <w:num w:numId="23">
    <w:abstractNumId w:val="15"/>
  </w:num>
  <w:num w:numId="24">
    <w:abstractNumId w:val="13"/>
  </w:num>
  <w:num w:numId="25">
    <w:abstractNumId w:val="20"/>
  </w:num>
  <w:num w:numId="26">
    <w:abstractNumId w:val="15"/>
  </w:num>
  <w:num w:numId="27">
    <w:abstractNumId w:val="5"/>
  </w:num>
  <w:num w:numId="28">
    <w:abstractNumId w:val="5"/>
  </w:num>
  <w:num w:numId="29">
    <w:abstractNumId w:val="5"/>
  </w:num>
  <w:num w:numId="30">
    <w:abstractNumId w:val="10"/>
  </w:num>
  <w:num w:numId="31">
    <w:abstractNumId w:val="18"/>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8"/>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19"/>
  </w:num>
  <w:num w:numId="41">
    <w:abstractNumId w:val="22"/>
  </w:num>
  <w:num w:numId="42">
    <w:abstractNumId w:val="23"/>
  </w:num>
  <w:num w:numId="43">
    <w:abstractNumId w:val="17"/>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672"/>
    <w:rsid w:val="00007958"/>
    <w:rsid w:val="0001620A"/>
    <w:rsid w:val="00016478"/>
    <w:rsid w:val="0002008A"/>
    <w:rsid w:val="00027CE8"/>
    <w:rsid w:val="00044B6F"/>
    <w:rsid w:val="000513ED"/>
    <w:rsid w:val="0005170F"/>
    <w:rsid w:val="00051E95"/>
    <w:rsid w:val="000622C3"/>
    <w:rsid w:val="00070619"/>
    <w:rsid w:val="00072873"/>
    <w:rsid w:val="00082EE7"/>
    <w:rsid w:val="00093B75"/>
    <w:rsid w:val="000B7323"/>
    <w:rsid w:val="000B7744"/>
    <w:rsid w:val="000B78DD"/>
    <w:rsid w:val="000B7A0B"/>
    <w:rsid w:val="000C1D01"/>
    <w:rsid w:val="000C5D92"/>
    <w:rsid w:val="000C7415"/>
    <w:rsid w:val="000D4EBC"/>
    <w:rsid w:val="000D5BD3"/>
    <w:rsid w:val="00110EB0"/>
    <w:rsid w:val="001565B3"/>
    <w:rsid w:val="00162561"/>
    <w:rsid w:val="00192EC8"/>
    <w:rsid w:val="001E600B"/>
    <w:rsid w:val="00202939"/>
    <w:rsid w:val="002170C3"/>
    <w:rsid w:val="0023234C"/>
    <w:rsid w:val="00243AE5"/>
    <w:rsid w:val="00247545"/>
    <w:rsid w:val="00250EA9"/>
    <w:rsid w:val="00253A58"/>
    <w:rsid w:val="00263C7A"/>
    <w:rsid w:val="002655C5"/>
    <w:rsid w:val="00266A5B"/>
    <w:rsid w:val="002675E2"/>
    <w:rsid w:val="002824BA"/>
    <w:rsid w:val="00293A0B"/>
    <w:rsid w:val="00297E68"/>
    <w:rsid w:val="002A233D"/>
    <w:rsid w:val="002A549E"/>
    <w:rsid w:val="002B24FF"/>
    <w:rsid w:val="002B7470"/>
    <w:rsid w:val="002B7E9F"/>
    <w:rsid w:val="002C076C"/>
    <w:rsid w:val="002C1195"/>
    <w:rsid w:val="002E38DC"/>
    <w:rsid w:val="002E3951"/>
    <w:rsid w:val="002E6C40"/>
    <w:rsid w:val="002F36A3"/>
    <w:rsid w:val="00311FD0"/>
    <w:rsid w:val="00312023"/>
    <w:rsid w:val="00313EE6"/>
    <w:rsid w:val="00317476"/>
    <w:rsid w:val="00321802"/>
    <w:rsid w:val="00321B74"/>
    <w:rsid w:val="00322F1D"/>
    <w:rsid w:val="00340192"/>
    <w:rsid w:val="003529E4"/>
    <w:rsid w:val="003869A0"/>
    <w:rsid w:val="00386A11"/>
    <w:rsid w:val="003A44DB"/>
    <w:rsid w:val="003A58B7"/>
    <w:rsid w:val="003B02A1"/>
    <w:rsid w:val="003C7015"/>
    <w:rsid w:val="003E6EF5"/>
    <w:rsid w:val="00400DAB"/>
    <w:rsid w:val="00400E10"/>
    <w:rsid w:val="00402A1B"/>
    <w:rsid w:val="00415003"/>
    <w:rsid w:val="00427E09"/>
    <w:rsid w:val="0044369C"/>
    <w:rsid w:val="00443E4C"/>
    <w:rsid w:val="00451181"/>
    <w:rsid w:val="00451BB9"/>
    <w:rsid w:val="004739AA"/>
    <w:rsid w:val="00474146"/>
    <w:rsid w:val="00485A72"/>
    <w:rsid w:val="00485AFD"/>
    <w:rsid w:val="00487D0A"/>
    <w:rsid w:val="00497EA9"/>
    <w:rsid w:val="004A5360"/>
    <w:rsid w:val="004A5468"/>
    <w:rsid w:val="004A6288"/>
    <w:rsid w:val="004B4FC8"/>
    <w:rsid w:val="004B7D86"/>
    <w:rsid w:val="004D4996"/>
    <w:rsid w:val="004E1EEB"/>
    <w:rsid w:val="004E5A64"/>
    <w:rsid w:val="004E6B83"/>
    <w:rsid w:val="004F070D"/>
    <w:rsid w:val="004F5370"/>
    <w:rsid w:val="005121D1"/>
    <w:rsid w:val="005170F2"/>
    <w:rsid w:val="00524289"/>
    <w:rsid w:val="00542E7D"/>
    <w:rsid w:val="00544F66"/>
    <w:rsid w:val="005771B3"/>
    <w:rsid w:val="00580519"/>
    <w:rsid w:val="005A0EA3"/>
    <w:rsid w:val="005A313A"/>
    <w:rsid w:val="005B048C"/>
    <w:rsid w:val="005B21F4"/>
    <w:rsid w:val="005B47BF"/>
    <w:rsid w:val="005E388C"/>
    <w:rsid w:val="005F6FF8"/>
    <w:rsid w:val="006134FE"/>
    <w:rsid w:val="00617F60"/>
    <w:rsid w:val="006211AB"/>
    <w:rsid w:val="00624594"/>
    <w:rsid w:val="00624706"/>
    <w:rsid w:val="006324FE"/>
    <w:rsid w:val="0065607C"/>
    <w:rsid w:val="00661FD0"/>
    <w:rsid w:val="006725F3"/>
    <w:rsid w:val="006943F4"/>
    <w:rsid w:val="006976AF"/>
    <w:rsid w:val="0069781B"/>
    <w:rsid w:val="006B361E"/>
    <w:rsid w:val="006B37FE"/>
    <w:rsid w:val="006B7CCA"/>
    <w:rsid w:val="006C1FF7"/>
    <w:rsid w:val="006D0989"/>
    <w:rsid w:val="006E12AF"/>
    <w:rsid w:val="006E2B15"/>
    <w:rsid w:val="006F5DA3"/>
    <w:rsid w:val="0070444A"/>
    <w:rsid w:val="007123B4"/>
    <w:rsid w:val="00717366"/>
    <w:rsid w:val="0072077B"/>
    <w:rsid w:val="00721A51"/>
    <w:rsid w:val="007449FA"/>
    <w:rsid w:val="00764A57"/>
    <w:rsid w:val="007774B8"/>
    <w:rsid w:val="007839E6"/>
    <w:rsid w:val="00784794"/>
    <w:rsid w:val="00787044"/>
    <w:rsid w:val="0079057A"/>
    <w:rsid w:val="0079609F"/>
    <w:rsid w:val="007A0F9E"/>
    <w:rsid w:val="007B007F"/>
    <w:rsid w:val="007B3403"/>
    <w:rsid w:val="007B54CA"/>
    <w:rsid w:val="007C06E1"/>
    <w:rsid w:val="007C1B59"/>
    <w:rsid w:val="007C473B"/>
    <w:rsid w:val="007E1E9F"/>
    <w:rsid w:val="007F377B"/>
    <w:rsid w:val="00810AD3"/>
    <w:rsid w:val="008156E3"/>
    <w:rsid w:val="0084708D"/>
    <w:rsid w:val="00865E1C"/>
    <w:rsid w:val="008703AC"/>
    <w:rsid w:val="008719B7"/>
    <w:rsid w:val="00881497"/>
    <w:rsid w:val="0088244A"/>
    <w:rsid w:val="008860D3"/>
    <w:rsid w:val="0089009A"/>
    <w:rsid w:val="00895D7B"/>
    <w:rsid w:val="008A00C4"/>
    <w:rsid w:val="008B0B68"/>
    <w:rsid w:val="008C21EA"/>
    <w:rsid w:val="008C65E2"/>
    <w:rsid w:val="008D59F1"/>
    <w:rsid w:val="008E5559"/>
    <w:rsid w:val="008E7F69"/>
    <w:rsid w:val="008F0F4C"/>
    <w:rsid w:val="008F4B81"/>
    <w:rsid w:val="008F56F0"/>
    <w:rsid w:val="008F7F9F"/>
    <w:rsid w:val="009173B6"/>
    <w:rsid w:val="00926CBB"/>
    <w:rsid w:val="00936342"/>
    <w:rsid w:val="00943754"/>
    <w:rsid w:val="00950E37"/>
    <w:rsid w:val="00955187"/>
    <w:rsid w:val="00963103"/>
    <w:rsid w:val="00973213"/>
    <w:rsid w:val="00975092"/>
    <w:rsid w:val="00976874"/>
    <w:rsid w:val="0099486F"/>
    <w:rsid w:val="00994AED"/>
    <w:rsid w:val="009964C2"/>
    <w:rsid w:val="00997C65"/>
    <w:rsid w:val="009A157E"/>
    <w:rsid w:val="009A5363"/>
    <w:rsid w:val="009A7B2B"/>
    <w:rsid w:val="009B4F5E"/>
    <w:rsid w:val="009D5F3B"/>
    <w:rsid w:val="009D6B46"/>
    <w:rsid w:val="009E467B"/>
    <w:rsid w:val="009E4F02"/>
    <w:rsid w:val="00A10A9D"/>
    <w:rsid w:val="00A23473"/>
    <w:rsid w:val="00A322DD"/>
    <w:rsid w:val="00A557E1"/>
    <w:rsid w:val="00A6429F"/>
    <w:rsid w:val="00A723AC"/>
    <w:rsid w:val="00A80288"/>
    <w:rsid w:val="00A8672F"/>
    <w:rsid w:val="00A95EFC"/>
    <w:rsid w:val="00AB4077"/>
    <w:rsid w:val="00AC3633"/>
    <w:rsid w:val="00AD23FA"/>
    <w:rsid w:val="00AE3268"/>
    <w:rsid w:val="00AF4DEE"/>
    <w:rsid w:val="00B0067A"/>
    <w:rsid w:val="00B03666"/>
    <w:rsid w:val="00B051B8"/>
    <w:rsid w:val="00B35836"/>
    <w:rsid w:val="00B37079"/>
    <w:rsid w:val="00B402B4"/>
    <w:rsid w:val="00B509E6"/>
    <w:rsid w:val="00B641DD"/>
    <w:rsid w:val="00B7391E"/>
    <w:rsid w:val="00B93141"/>
    <w:rsid w:val="00B960B8"/>
    <w:rsid w:val="00B9651C"/>
    <w:rsid w:val="00BA1459"/>
    <w:rsid w:val="00BB4E53"/>
    <w:rsid w:val="00BC6C6B"/>
    <w:rsid w:val="00BE280A"/>
    <w:rsid w:val="00BE42B5"/>
    <w:rsid w:val="00BF43E9"/>
    <w:rsid w:val="00C0196D"/>
    <w:rsid w:val="00C13176"/>
    <w:rsid w:val="00C203BC"/>
    <w:rsid w:val="00C2740C"/>
    <w:rsid w:val="00C33EDC"/>
    <w:rsid w:val="00C36C8E"/>
    <w:rsid w:val="00C40F84"/>
    <w:rsid w:val="00C47397"/>
    <w:rsid w:val="00C57EB2"/>
    <w:rsid w:val="00C65804"/>
    <w:rsid w:val="00C8637E"/>
    <w:rsid w:val="00C8691F"/>
    <w:rsid w:val="00C92770"/>
    <w:rsid w:val="00C94F0B"/>
    <w:rsid w:val="00CA2541"/>
    <w:rsid w:val="00CB0530"/>
    <w:rsid w:val="00CB16AC"/>
    <w:rsid w:val="00CB642C"/>
    <w:rsid w:val="00CC0AEB"/>
    <w:rsid w:val="00CC0E2F"/>
    <w:rsid w:val="00D11043"/>
    <w:rsid w:val="00D279C7"/>
    <w:rsid w:val="00D43699"/>
    <w:rsid w:val="00D722CA"/>
    <w:rsid w:val="00D74ED0"/>
    <w:rsid w:val="00D85DB2"/>
    <w:rsid w:val="00D929BE"/>
    <w:rsid w:val="00DA128B"/>
    <w:rsid w:val="00DA5917"/>
    <w:rsid w:val="00DB3E4A"/>
    <w:rsid w:val="00DC7E53"/>
    <w:rsid w:val="00DD4CDC"/>
    <w:rsid w:val="00DD515B"/>
    <w:rsid w:val="00DE6672"/>
    <w:rsid w:val="00DF60B4"/>
    <w:rsid w:val="00DF7E52"/>
    <w:rsid w:val="00E51F6E"/>
    <w:rsid w:val="00E778C4"/>
    <w:rsid w:val="00E77B29"/>
    <w:rsid w:val="00E87414"/>
    <w:rsid w:val="00E87E93"/>
    <w:rsid w:val="00EA545C"/>
    <w:rsid w:val="00EC0217"/>
    <w:rsid w:val="00ED2286"/>
    <w:rsid w:val="00ED3DEC"/>
    <w:rsid w:val="00ED4246"/>
    <w:rsid w:val="00F1495A"/>
    <w:rsid w:val="00F20F5C"/>
    <w:rsid w:val="00F22B35"/>
    <w:rsid w:val="00F26105"/>
    <w:rsid w:val="00F33240"/>
    <w:rsid w:val="00F3434F"/>
    <w:rsid w:val="00F51C0B"/>
    <w:rsid w:val="00F534CB"/>
    <w:rsid w:val="00F54B94"/>
    <w:rsid w:val="00F56261"/>
    <w:rsid w:val="00F83CC3"/>
    <w:rsid w:val="00F90A36"/>
    <w:rsid w:val="00F96253"/>
    <w:rsid w:val="00F9688F"/>
    <w:rsid w:val="00FA7081"/>
    <w:rsid w:val="00FB18F9"/>
    <w:rsid w:val="00FD0C66"/>
    <w:rsid w:val="00FD4341"/>
    <w:rsid w:val="00FE595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B14A5"/>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footer" w:uiPriority="0"/>
    <w:lsdException w:name="index heading"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Salutation" w:uiPriority="0"/>
    <w:lsdException w:name="Body Tex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Definition"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B68"/>
    <w:pPr>
      <w:spacing w:after="120"/>
      <w:jc w:val="both"/>
    </w:pPr>
    <w:rPr>
      <w:sz w:val="20"/>
    </w:rPr>
  </w:style>
  <w:style w:type="paragraph" w:styleId="Heading1">
    <w:name w:val="heading 1"/>
    <w:basedOn w:val="Normal"/>
    <w:next w:val="Normal"/>
    <w:link w:val="Heading1Char"/>
    <w:uiPriority w:val="9"/>
    <w:qFormat/>
    <w:rsid w:val="00A557E1"/>
    <w:pPr>
      <w:keepNext/>
      <w:keepLines/>
      <w:spacing w:before="120" w:after="0"/>
      <w:ind w:left="454" w:hanging="454"/>
      <w:outlineLvl w:val="0"/>
    </w:pPr>
    <w:rPr>
      <w:rFonts w:eastAsia="Times New Roman" w:cs="Times New Roman"/>
      <w:bCs/>
      <w:sz w:val="30"/>
      <w:szCs w:val="30"/>
    </w:rPr>
  </w:style>
  <w:style w:type="paragraph" w:styleId="Heading2">
    <w:name w:val="heading 2"/>
    <w:basedOn w:val="Normal"/>
    <w:next w:val="Normal"/>
    <w:link w:val="Heading2Char"/>
    <w:uiPriority w:val="9"/>
    <w:unhideWhenUsed/>
    <w:qFormat/>
    <w:rsid w:val="00A557E1"/>
    <w:pPr>
      <w:keepNext/>
      <w:keepLines/>
      <w:spacing w:before="200" w:after="0"/>
      <w:ind w:left="907" w:hanging="567"/>
      <w:outlineLvl w:val="1"/>
    </w:pPr>
    <w:rPr>
      <w:rFonts w:eastAsia="Times New Roman" w:cs="Times New Roman"/>
      <w:bCs/>
      <w:sz w:val="26"/>
      <w:szCs w:val="26"/>
    </w:rPr>
  </w:style>
  <w:style w:type="paragraph" w:styleId="Heading3">
    <w:name w:val="heading 3"/>
    <w:basedOn w:val="Normal"/>
    <w:next w:val="Normal"/>
    <w:link w:val="Heading3Char"/>
    <w:uiPriority w:val="9"/>
    <w:semiHidden/>
    <w:unhideWhenUsed/>
    <w:qFormat/>
    <w:rsid w:val="00C13176"/>
    <w:pPr>
      <w:keepNext/>
      <w:keepLines/>
      <w:spacing w:before="200" w:after="0"/>
      <w:outlineLvl w:val="2"/>
    </w:pPr>
    <w:rPr>
      <w:rFonts w:eastAsia="Times New Roman" w:cs="Times New Roman"/>
      <w:bCs/>
    </w:rPr>
  </w:style>
  <w:style w:type="paragraph" w:styleId="Heading4">
    <w:name w:val="heading 4"/>
    <w:basedOn w:val="Normal"/>
    <w:next w:val="Normal"/>
    <w:link w:val="Heading4Char"/>
    <w:uiPriority w:val="9"/>
    <w:semiHidden/>
    <w:unhideWhenUsed/>
    <w:qFormat/>
    <w:rsid w:val="00C13176"/>
    <w:pPr>
      <w:keepNext/>
      <w:keepLines/>
      <w:spacing w:before="200" w:after="0"/>
      <w:outlineLvl w:val="3"/>
    </w:pPr>
    <w:rPr>
      <w:rFonts w:eastAsia="Times New Roman" w:cs="Times New Roman"/>
      <w:bCs/>
      <w:i/>
      <w:iCs/>
    </w:rPr>
  </w:style>
  <w:style w:type="paragraph" w:styleId="Heading5">
    <w:name w:val="heading 5"/>
    <w:basedOn w:val="Heading4"/>
    <w:next w:val="Normal"/>
    <w:link w:val="Heading5Char"/>
    <w:uiPriority w:val="9"/>
    <w:semiHidden/>
    <w:unhideWhenUsed/>
    <w:qFormat/>
    <w:rsid w:val="002675E2"/>
    <w:pPr>
      <w:outlineLvl w:val="4"/>
    </w:pPr>
    <w:rPr>
      <w:rFonts w:asciiTheme="majorHAnsi" w:eastAsiaTheme="majorEastAsia" w:hAnsiTheme="majorHAnsi" w:cstheme="majorBidi"/>
      <w:bCs w:val="0"/>
      <w:i w:val="0"/>
      <w:iCs w:val="0"/>
      <w:color w:val="004F57" w:themeColor="accent1" w:themeShade="7F"/>
    </w:rPr>
  </w:style>
  <w:style w:type="paragraph" w:styleId="Heading6">
    <w:name w:val="heading 6"/>
    <w:basedOn w:val="Heading5"/>
    <w:next w:val="Normal"/>
    <w:link w:val="Heading6Char"/>
    <w:uiPriority w:val="9"/>
    <w:semiHidden/>
    <w:unhideWhenUsed/>
    <w:qFormat/>
    <w:rsid w:val="002675E2"/>
    <w:pPr>
      <w:outlineLvl w:val="5"/>
    </w:pPr>
    <w:rPr>
      <w:i/>
      <w:iCs/>
    </w:rPr>
  </w:style>
  <w:style w:type="paragraph" w:styleId="Heading7">
    <w:name w:val="heading 7"/>
    <w:basedOn w:val="Heading6"/>
    <w:next w:val="Normal"/>
    <w:link w:val="Heading7Char"/>
    <w:uiPriority w:val="9"/>
    <w:semiHidden/>
    <w:unhideWhenUsed/>
    <w:qFormat/>
    <w:rsid w:val="002675E2"/>
    <w:pPr>
      <w:outlineLvl w:val="6"/>
    </w:pPr>
    <w:rPr>
      <w:color w:val="404040" w:themeColor="text1" w:themeTint="BF"/>
    </w:rPr>
  </w:style>
  <w:style w:type="paragraph" w:styleId="Heading8">
    <w:name w:val="heading 8"/>
    <w:basedOn w:val="Heading7"/>
    <w:next w:val="Normal"/>
    <w:link w:val="Heading8Char"/>
    <w:uiPriority w:val="9"/>
    <w:semiHidden/>
    <w:unhideWhenUsed/>
    <w:qFormat/>
    <w:rsid w:val="002675E2"/>
    <w:pPr>
      <w:outlineLvl w:val="7"/>
    </w:pPr>
    <w:rPr>
      <w:i w:val="0"/>
      <w:iCs w:val="0"/>
      <w:szCs w:val="20"/>
    </w:rPr>
  </w:style>
  <w:style w:type="paragraph" w:styleId="Heading9">
    <w:name w:val="heading 9"/>
    <w:basedOn w:val="Heading8"/>
    <w:next w:val="Normal"/>
    <w:link w:val="Heading9Char"/>
    <w:uiPriority w:val="9"/>
    <w:semiHidden/>
    <w:unhideWhenUsed/>
    <w:qFormat/>
    <w:rsid w:val="002675E2"/>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1195"/>
    <w:pPr>
      <w:spacing w:before="120"/>
    </w:pPr>
    <w:rPr>
      <w:rFonts w:ascii="Calibri" w:hAnsi="Calibri"/>
    </w:rPr>
  </w:style>
  <w:style w:type="character" w:customStyle="1" w:styleId="BodyTextChar">
    <w:name w:val="Body Text Char"/>
    <w:link w:val="BodyText"/>
    <w:rsid w:val="002C1195"/>
    <w:rPr>
      <w:sz w:val="22"/>
      <w:szCs w:val="22"/>
      <w:lang w:eastAsia="en-US"/>
    </w:rPr>
  </w:style>
  <w:style w:type="character" w:customStyle="1" w:styleId="Heading1Char">
    <w:name w:val="Heading 1 Char"/>
    <w:link w:val="Heading1"/>
    <w:uiPriority w:val="9"/>
    <w:rsid w:val="00A557E1"/>
    <w:rPr>
      <w:rFonts w:eastAsia="Times New Roman" w:cs="Times New Roman"/>
      <w:bCs/>
      <w:sz w:val="30"/>
      <w:szCs w:val="30"/>
    </w:rPr>
  </w:style>
  <w:style w:type="character" w:customStyle="1" w:styleId="Heading2Char">
    <w:name w:val="Heading 2 Char"/>
    <w:link w:val="Heading2"/>
    <w:uiPriority w:val="9"/>
    <w:rsid w:val="00A557E1"/>
    <w:rPr>
      <w:rFonts w:eastAsia="Times New Roman" w:cs="Times New Roman"/>
      <w:bCs/>
      <w:sz w:val="26"/>
      <w:szCs w:val="26"/>
    </w:rPr>
  </w:style>
  <w:style w:type="character" w:customStyle="1" w:styleId="Heading3Char">
    <w:name w:val="Heading 3 Char"/>
    <w:link w:val="Heading3"/>
    <w:uiPriority w:val="9"/>
    <w:semiHidden/>
    <w:rsid w:val="00C13176"/>
    <w:rPr>
      <w:rFonts w:eastAsia="Times New Roman" w:cs="Times New Roman"/>
      <w:bCs/>
    </w:rPr>
  </w:style>
  <w:style w:type="character" w:customStyle="1" w:styleId="Heading4Char">
    <w:name w:val="Heading 4 Char"/>
    <w:link w:val="Heading4"/>
    <w:uiPriority w:val="9"/>
    <w:semiHidden/>
    <w:rsid w:val="00C13176"/>
    <w:rPr>
      <w:rFonts w:eastAsia="Times New Roman" w:cs="Times New Roman"/>
      <w:bCs/>
      <w:i/>
      <w:iCs/>
    </w:rPr>
  </w:style>
  <w:style w:type="character" w:customStyle="1" w:styleId="Heading5Char">
    <w:name w:val="Heading 5 Char"/>
    <w:link w:val="Heading5"/>
    <w:uiPriority w:val="9"/>
    <w:semiHidden/>
    <w:rsid w:val="002675E2"/>
    <w:rPr>
      <w:rFonts w:asciiTheme="majorHAnsi" w:eastAsiaTheme="majorEastAsia" w:hAnsiTheme="majorHAnsi" w:cstheme="majorBidi"/>
      <w:color w:val="004F57" w:themeColor="accent1" w:themeShade="7F"/>
    </w:rPr>
  </w:style>
  <w:style w:type="character" w:customStyle="1" w:styleId="Heading6Char">
    <w:name w:val="Heading 6 Char"/>
    <w:link w:val="Heading6"/>
    <w:uiPriority w:val="9"/>
    <w:semiHidden/>
    <w:rsid w:val="002675E2"/>
    <w:rPr>
      <w:rFonts w:asciiTheme="majorHAnsi" w:eastAsiaTheme="majorEastAsia" w:hAnsiTheme="majorHAnsi" w:cstheme="majorBidi"/>
      <w:i/>
      <w:iCs/>
      <w:color w:val="004F57" w:themeColor="accent1" w:themeShade="7F"/>
    </w:rPr>
  </w:style>
  <w:style w:type="character" w:customStyle="1" w:styleId="Heading7Char">
    <w:name w:val="Heading 7 Char"/>
    <w:link w:val="Heading7"/>
    <w:uiPriority w:val="9"/>
    <w:semiHidden/>
    <w:rsid w:val="002675E2"/>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2675E2"/>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2675E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2675E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675E2"/>
    <w:rPr>
      <w:rFonts w:ascii="Tahoma" w:eastAsia="Times New Roman" w:hAnsi="Tahoma" w:cs="Tahoma"/>
      <w:sz w:val="16"/>
      <w:szCs w:val="16"/>
    </w:rPr>
  </w:style>
  <w:style w:type="paragraph" w:styleId="Title">
    <w:name w:val="Title"/>
    <w:basedOn w:val="Normal"/>
    <w:next w:val="Normal"/>
    <w:link w:val="TitleChar"/>
    <w:uiPriority w:val="10"/>
    <w:qFormat/>
    <w:rsid w:val="00997C65"/>
    <w:pPr>
      <w:pBdr>
        <w:bottom w:val="single" w:sz="8" w:space="4" w:color="004990" w:themeColor="accent3"/>
      </w:pBdr>
      <w:spacing w:after="300" w:line="240" w:lineRule="auto"/>
      <w:contextualSpacing/>
    </w:pPr>
    <w:rPr>
      <w:rFonts w:ascii="Calibri Light" w:eastAsia="Times New Roman" w:hAnsi="Calibri Light" w:cs="Times New Roman"/>
      <w:color w:val="515253"/>
      <w:spacing w:val="5"/>
      <w:kern w:val="28"/>
      <w:sz w:val="60"/>
      <w:szCs w:val="60"/>
    </w:rPr>
  </w:style>
  <w:style w:type="character" w:customStyle="1" w:styleId="TitleChar">
    <w:name w:val="Title Char"/>
    <w:link w:val="Title"/>
    <w:uiPriority w:val="10"/>
    <w:rsid w:val="00997C65"/>
    <w:rPr>
      <w:rFonts w:ascii="Calibri Light" w:eastAsia="Times New Roman" w:hAnsi="Calibri Light" w:cs="Times New Roman"/>
      <w:color w:val="515253"/>
      <w:spacing w:val="5"/>
      <w:kern w:val="28"/>
      <w:sz w:val="60"/>
      <w:szCs w:val="60"/>
    </w:rPr>
  </w:style>
  <w:style w:type="paragraph" w:styleId="TOCHeading">
    <w:name w:val="TOC Heading"/>
    <w:basedOn w:val="Heading1"/>
    <w:next w:val="Normal"/>
    <w:uiPriority w:val="39"/>
    <w:semiHidden/>
    <w:unhideWhenUsed/>
    <w:qFormat/>
    <w:rsid w:val="00C13176"/>
    <w:pPr>
      <w:outlineLvl w:val="9"/>
    </w:pPr>
    <w:rPr>
      <w:lang w:val="en-US" w:eastAsia="ja-JP"/>
    </w:rPr>
  </w:style>
  <w:style w:type="paragraph" w:styleId="Caption">
    <w:name w:val="caption"/>
    <w:basedOn w:val="Normal"/>
    <w:next w:val="Normal"/>
    <w:link w:val="CaptionChar"/>
    <w:uiPriority w:val="35"/>
    <w:unhideWhenUsed/>
    <w:qFormat/>
    <w:rsid w:val="002C1195"/>
    <w:pPr>
      <w:spacing w:line="240" w:lineRule="auto"/>
    </w:pPr>
    <w:rPr>
      <w:b/>
      <w:bCs/>
      <w:color w:val="00A0AF" w:themeColor="accent1"/>
      <w:sz w:val="18"/>
      <w:szCs w:val="18"/>
    </w:rPr>
  </w:style>
  <w:style w:type="character" w:styleId="IntenseEmphasis">
    <w:name w:val="Intense Emphasis"/>
    <w:uiPriority w:val="21"/>
    <w:qFormat/>
    <w:rsid w:val="002675E2"/>
    <w:rPr>
      <w:b/>
      <w:bCs/>
      <w:i/>
      <w:iCs/>
      <w:color w:val="00A0AF" w:themeColor="accent1"/>
    </w:rPr>
  </w:style>
  <w:style w:type="paragraph" w:styleId="BodyTextIndent">
    <w:name w:val="Body Text Indent"/>
    <w:basedOn w:val="Normal"/>
    <w:link w:val="BodyTextIndentChar"/>
    <w:semiHidden/>
    <w:unhideWhenUsed/>
    <w:rsid w:val="002675E2"/>
    <w:pPr>
      <w:ind w:left="567"/>
    </w:pPr>
  </w:style>
  <w:style w:type="character" w:customStyle="1" w:styleId="BodyTextIndentChar">
    <w:name w:val="Body Text Indent Char"/>
    <w:link w:val="BodyTextIndent"/>
    <w:semiHidden/>
    <w:rsid w:val="009A157E"/>
    <w:rPr>
      <w:rFonts w:ascii="Arial" w:eastAsia="Times New Roman" w:hAnsi="Arial" w:cs="Times New Roman"/>
      <w:sz w:val="20"/>
      <w:szCs w:val="24"/>
    </w:rPr>
  </w:style>
  <w:style w:type="character" w:styleId="CommentReference">
    <w:name w:val="annotation reference"/>
    <w:semiHidden/>
    <w:rsid w:val="002675E2"/>
    <w:rPr>
      <w:rFonts w:ascii="Arial" w:hAnsi="Arial"/>
      <w:sz w:val="16"/>
      <w:szCs w:val="16"/>
    </w:rPr>
  </w:style>
  <w:style w:type="character" w:styleId="Emphasis">
    <w:name w:val="Emphasis"/>
    <w:uiPriority w:val="20"/>
    <w:qFormat/>
    <w:rsid w:val="00C13176"/>
    <w:rPr>
      <w:i/>
      <w:iCs/>
    </w:rPr>
  </w:style>
  <w:style w:type="character" w:styleId="EndnoteReference">
    <w:name w:val="endnote reference"/>
    <w:semiHidden/>
    <w:rsid w:val="002675E2"/>
    <w:rPr>
      <w:rFonts w:ascii="Arial" w:hAnsi="Arial"/>
      <w:vertAlign w:val="superscript"/>
    </w:rPr>
  </w:style>
  <w:style w:type="character" w:styleId="FollowedHyperlink">
    <w:name w:val="FollowedHyperlink"/>
    <w:semiHidden/>
    <w:unhideWhenUsed/>
    <w:rsid w:val="002675E2"/>
    <w:rPr>
      <w:rFonts w:ascii="Arial" w:hAnsi="Arial"/>
      <w:color w:val="800080"/>
      <w:sz w:val="20"/>
      <w:u w:val="single"/>
    </w:rPr>
  </w:style>
  <w:style w:type="paragraph" w:styleId="Footer">
    <w:name w:val="footer"/>
    <w:basedOn w:val="Normal"/>
    <w:link w:val="FooterChar"/>
    <w:unhideWhenUsed/>
    <w:rsid w:val="002675E2"/>
    <w:pPr>
      <w:tabs>
        <w:tab w:val="center" w:pos="4153"/>
        <w:tab w:val="right" w:pos="8306"/>
      </w:tabs>
      <w:spacing w:line="240" w:lineRule="auto"/>
    </w:pPr>
    <w:rPr>
      <w:sz w:val="14"/>
    </w:rPr>
  </w:style>
  <w:style w:type="character" w:customStyle="1" w:styleId="FooterChar">
    <w:name w:val="Footer Char"/>
    <w:link w:val="Footer"/>
    <w:rsid w:val="009A157E"/>
    <w:rPr>
      <w:rFonts w:ascii="Arial" w:eastAsia="Times New Roman" w:hAnsi="Arial" w:cs="Times New Roman"/>
      <w:sz w:val="14"/>
      <w:szCs w:val="24"/>
    </w:rPr>
  </w:style>
  <w:style w:type="character" w:styleId="FootnoteReference">
    <w:name w:val="footnote reference"/>
    <w:semiHidden/>
    <w:rsid w:val="002675E2"/>
    <w:rPr>
      <w:rFonts w:ascii="Arial" w:hAnsi="Arial"/>
      <w:vertAlign w:val="superscript"/>
    </w:rPr>
  </w:style>
  <w:style w:type="paragraph" w:customStyle="1" w:styleId="Graphic">
    <w:name w:val="Graphic"/>
    <w:basedOn w:val="Normal"/>
    <w:next w:val="BodyText"/>
    <w:rsid w:val="002675E2"/>
    <w:pPr>
      <w:jc w:val="center"/>
    </w:pPr>
  </w:style>
  <w:style w:type="paragraph" w:styleId="Header">
    <w:name w:val="header"/>
    <w:basedOn w:val="Normal"/>
    <w:link w:val="HeaderChar"/>
    <w:uiPriority w:val="99"/>
    <w:unhideWhenUsed/>
    <w:rsid w:val="002675E2"/>
    <w:pPr>
      <w:tabs>
        <w:tab w:val="center" w:pos="4153"/>
        <w:tab w:val="right" w:pos="8306"/>
      </w:tabs>
    </w:pPr>
    <w:rPr>
      <w:sz w:val="14"/>
    </w:rPr>
  </w:style>
  <w:style w:type="character" w:customStyle="1" w:styleId="HeaderChar">
    <w:name w:val="Header Char"/>
    <w:link w:val="Header"/>
    <w:uiPriority w:val="99"/>
    <w:rsid w:val="009A157E"/>
    <w:rPr>
      <w:rFonts w:ascii="Arial" w:eastAsia="Times New Roman" w:hAnsi="Arial" w:cs="Times New Roman"/>
      <w:sz w:val="14"/>
      <w:szCs w:val="24"/>
    </w:rPr>
  </w:style>
  <w:style w:type="character" w:styleId="Hyperlink">
    <w:name w:val="Hyperlink"/>
    <w:uiPriority w:val="99"/>
    <w:unhideWhenUsed/>
    <w:rsid w:val="00AB4077"/>
    <w:rPr>
      <w:rFonts w:asciiTheme="minorHAnsi" w:hAnsiTheme="minorHAnsi"/>
      <w:color w:val="0000FF"/>
      <w:sz w:val="20"/>
      <w:u w:val="single"/>
    </w:rPr>
  </w:style>
  <w:style w:type="paragraph" w:styleId="Index1">
    <w:name w:val="index 1"/>
    <w:basedOn w:val="Normal"/>
    <w:next w:val="Normal"/>
    <w:autoRedefine/>
    <w:semiHidden/>
    <w:rsid w:val="002675E2"/>
    <w:pPr>
      <w:ind w:left="200" w:hanging="200"/>
    </w:pPr>
  </w:style>
  <w:style w:type="paragraph" w:styleId="IndexHeading">
    <w:name w:val="index heading"/>
    <w:basedOn w:val="Normal"/>
    <w:next w:val="Index1"/>
    <w:semiHidden/>
    <w:rsid w:val="002675E2"/>
    <w:rPr>
      <w:rFonts w:cs="Arial"/>
      <w:b/>
      <w:bCs/>
    </w:rPr>
  </w:style>
  <w:style w:type="character" w:styleId="LineNumber">
    <w:name w:val="line number"/>
    <w:semiHidden/>
    <w:unhideWhenUsed/>
    <w:rsid w:val="002675E2"/>
    <w:rPr>
      <w:rFonts w:ascii="Arial" w:hAnsi="Arial"/>
    </w:rPr>
  </w:style>
  <w:style w:type="paragraph" w:styleId="ListBullet">
    <w:name w:val="List Bullet"/>
    <w:basedOn w:val="BodyText"/>
    <w:link w:val="ListBulletChar"/>
    <w:rsid w:val="00CB16AC"/>
    <w:pPr>
      <w:ind w:left="360" w:hanging="360"/>
    </w:pPr>
    <w:rPr>
      <w:lang w:val="en-US"/>
    </w:rPr>
  </w:style>
  <w:style w:type="paragraph" w:styleId="ListBullet2">
    <w:name w:val="List Bullet 2"/>
    <w:basedOn w:val="BodyText"/>
    <w:link w:val="ListBullet2Char"/>
    <w:semiHidden/>
    <w:unhideWhenUsed/>
    <w:rsid w:val="00CB16AC"/>
    <w:pPr>
      <w:ind w:left="720" w:hanging="360"/>
    </w:pPr>
    <w:rPr>
      <w:lang w:val="en-US"/>
    </w:rPr>
  </w:style>
  <w:style w:type="paragraph" w:styleId="ListNumber">
    <w:name w:val="List Number"/>
    <w:basedOn w:val="ListBullet"/>
    <w:link w:val="ListNumberChar"/>
    <w:rsid w:val="00CB16AC"/>
    <w:pPr>
      <w:tabs>
        <w:tab w:val="num" w:pos="567"/>
      </w:tabs>
      <w:ind w:left="567" w:hanging="567"/>
    </w:pPr>
  </w:style>
  <w:style w:type="character" w:styleId="PageNumber">
    <w:name w:val="page number"/>
    <w:semiHidden/>
    <w:unhideWhenUsed/>
    <w:rsid w:val="002675E2"/>
    <w:rPr>
      <w:rFonts w:ascii="Arial" w:hAnsi="Arial"/>
      <w:sz w:val="12"/>
    </w:rPr>
  </w:style>
  <w:style w:type="character" w:styleId="Strong">
    <w:name w:val="Strong"/>
    <w:uiPriority w:val="22"/>
    <w:qFormat/>
    <w:rsid w:val="002675E2"/>
    <w:rPr>
      <w:b/>
      <w:bCs/>
    </w:rPr>
  </w:style>
  <w:style w:type="paragraph" w:customStyle="1" w:styleId="Subject">
    <w:name w:val="Subject"/>
    <w:basedOn w:val="BodyText"/>
    <w:rsid w:val="002675E2"/>
    <w:pPr>
      <w:spacing w:before="80" w:after="80"/>
    </w:pPr>
    <w:rPr>
      <w:b/>
      <w:caps/>
    </w:rPr>
  </w:style>
  <w:style w:type="paragraph" w:customStyle="1" w:styleId="TableText">
    <w:name w:val="Table Text"/>
    <w:basedOn w:val="BodyText"/>
    <w:link w:val="TableTextChar"/>
    <w:rsid w:val="002675E2"/>
    <w:pPr>
      <w:spacing w:before="80" w:after="80"/>
      <w:jc w:val="left"/>
    </w:pPr>
    <w:rPr>
      <w:bCs/>
    </w:rPr>
  </w:style>
  <w:style w:type="paragraph" w:customStyle="1" w:styleId="TableTextBulletList">
    <w:name w:val="Table Text Bullet List"/>
    <w:basedOn w:val="Normal"/>
    <w:link w:val="TableTextBulletListChar"/>
    <w:rsid w:val="00CB16AC"/>
    <w:pPr>
      <w:ind w:left="360" w:hanging="360"/>
      <w:contextualSpacing/>
    </w:pPr>
  </w:style>
  <w:style w:type="paragraph" w:customStyle="1" w:styleId="TableTextHeading">
    <w:name w:val="Table Text Heading"/>
    <w:basedOn w:val="TableText"/>
    <w:next w:val="TableText"/>
    <w:link w:val="TableTextHeadingChar"/>
    <w:rsid w:val="002675E2"/>
    <w:pPr>
      <w:spacing w:before="120" w:after="120"/>
    </w:pPr>
    <w:rPr>
      <w:b/>
    </w:rPr>
  </w:style>
  <w:style w:type="paragraph" w:styleId="EnvelopeReturn">
    <w:name w:val="envelope return"/>
    <w:basedOn w:val="Normal"/>
    <w:semiHidden/>
    <w:unhideWhenUsed/>
    <w:rsid w:val="002675E2"/>
    <w:pPr>
      <w:spacing w:line="240" w:lineRule="auto"/>
    </w:pPr>
    <w:rPr>
      <w:rFonts w:eastAsia="Times New Roman" w:cs="Times New Roman"/>
      <w:szCs w:val="20"/>
    </w:rPr>
  </w:style>
  <w:style w:type="paragraph" w:customStyle="1" w:styleId="EnvelopeAddress1">
    <w:name w:val="Envelope Address1"/>
    <w:basedOn w:val="Normal"/>
    <w:semiHidden/>
    <w:unhideWhenUsed/>
    <w:rsid w:val="002675E2"/>
    <w:pPr>
      <w:framePr w:w="7920" w:h="1980" w:hRule="exact" w:hSpace="180" w:wrap="auto" w:hAnchor="page" w:xAlign="center" w:yAlign="bottom"/>
      <w:spacing w:line="240" w:lineRule="auto"/>
      <w:ind w:left="2880"/>
    </w:pPr>
    <w:rPr>
      <w:rFonts w:eastAsia="Times New Roman" w:cs="Times New Roman"/>
    </w:rPr>
  </w:style>
  <w:style w:type="paragraph" w:styleId="ListBullet3">
    <w:name w:val="List Bullet 3"/>
    <w:basedOn w:val="ListBullet4"/>
    <w:uiPriority w:val="99"/>
    <w:semiHidden/>
    <w:unhideWhenUsed/>
    <w:rsid w:val="00CB16AC"/>
    <w:pPr>
      <w:ind w:left="1080"/>
    </w:pPr>
  </w:style>
  <w:style w:type="paragraph" w:styleId="ListBullet4">
    <w:name w:val="List Bullet 4"/>
    <w:basedOn w:val="Normal"/>
    <w:uiPriority w:val="99"/>
    <w:semiHidden/>
    <w:unhideWhenUsed/>
    <w:rsid w:val="00CB16AC"/>
    <w:pPr>
      <w:spacing w:before="60" w:after="60"/>
      <w:ind w:left="1440" w:hanging="360"/>
      <w:contextualSpacing/>
    </w:pPr>
  </w:style>
  <w:style w:type="paragraph" w:styleId="ListBullet5">
    <w:name w:val="List Bullet 5"/>
    <w:basedOn w:val="ListBullet4"/>
    <w:uiPriority w:val="99"/>
    <w:semiHidden/>
    <w:unhideWhenUsed/>
    <w:rsid w:val="002675E2"/>
    <w:pPr>
      <w:numPr>
        <w:ilvl w:val="4"/>
      </w:numPr>
      <w:ind w:left="1440" w:hanging="360"/>
    </w:pPr>
  </w:style>
  <w:style w:type="paragraph" w:styleId="MessageHeader">
    <w:name w:val="Message Header"/>
    <w:basedOn w:val="Normal"/>
    <w:link w:val="MessageHeaderChar"/>
    <w:semiHidden/>
    <w:unhideWhenUsed/>
    <w:rsid w:val="002675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cs="Times New Roman"/>
      <w:sz w:val="24"/>
    </w:rPr>
  </w:style>
  <w:style w:type="character" w:customStyle="1" w:styleId="MessageHeaderChar">
    <w:name w:val="Message Header Char"/>
    <w:link w:val="MessageHeader"/>
    <w:semiHidden/>
    <w:rsid w:val="002675E2"/>
    <w:rPr>
      <w:rFonts w:ascii="Arial" w:eastAsia="Times New Roman" w:hAnsi="Arial" w:cs="Times New Roman"/>
      <w:sz w:val="24"/>
      <w:szCs w:val="24"/>
      <w:shd w:val="pct20" w:color="auto" w:fill="auto"/>
    </w:rPr>
  </w:style>
  <w:style w:type="paragraph" w:styleId="NormalWeb">
    <w:name w:val="Normal (Web)"/>
    <w:basedOn w:val="Normal"/>
    <w:semiHidden/>
    <w:unhideWhenUsed/>
    <w:rsid w:val="002675E2"/>
    <w:rPr>
      <w:sz w:val="24"/>
    </w:rPr>
  </w:style>
  <w:style w:type="paragraph" w:styleId="Signature">
    <w:name w:val="Signature"/>
    <w:basedOn w:val="Normal"/>
    <w:link w:val="SignatureChar"/>
    <w:uiPriority w:val="99"/>
    <w:semiHidden/>
    <w:unhideWhenUsed/>
    <w:rsid w:val="002675E2"/>
    <w:pPr>
      <w:spacing w:line="240" w:lineRule="auto"/>
      <w:jc w:val="left"/>
    </w:pPr>
  </w:style>
  <w:style w:type="character" w:customStyle="1" w:styleId="SignatureChar">
    <w:name w:val="Signature Char"/>
    <w:link w:val="Signature"/>
    <w:uiPriority w:val="99"/>
    <w:semiHidden/>
    <w:rsid w:val="002675E2"/>
    <w:rPr>
      <w:rFonts w:ascii="Arial" w:eastAsia="Times New Roman" w:hAnsi="Arial" w:cs="Times New Roman"/>
      <w:sz w:val="20"/>
      <w:szCs w:val="24"/>
    </w:rPr>
  </w:style>
  <w:style w:type="paragraph" w:styleId="TOAHeading">
    <w:name w:val="toa heading"/>
    <w:basedOn w:val="Normal"/>
    <w:next w:val="Normal"/>
    <w:semiHidden/>
    <w:unhideWhenUsed/>
    <w:rsid w:val="002675E2"/>
    <w:pPr>
      <w:spacing w:before="120"/>
    </w:pPr>
    <w:rPr>
      <w:rFonts w:eastAsia="Times New Roman" w:cs="Times New Roman"/>
      <w:b/>
      <w:bCs/>
      <w:sz w:val="24"/>
    </w:rPr>
  </w:style>
  <w:style w:type="character" w:styleId="HTMLAcronym">
    <w:name w:val="HTML Acronym"/>
    <w:semiHidden/>
    <w:unhideWhenUsed/>
    <w:rsid w:val="002675E2"/>
    <w:rPr>
      <w:rFonts w:ascii="Arial" w:hAnsi="Arial"/>
    </w:rPr>
  </w:style>
  <w:style w:type="paragraph" w:customStyle="1" w:styleId="HTMLAddress1">
    <w:name w:val="HTML Address1"/>
    <w:basedOn w:val="Normal"/>
    <w:link w:val="HTMLAddressChar"/>
    <w:uiPriority w:val="99"/>
    <w:semiHidden/>
    <w:unhideWhenUsed/>
    <w:rsid w:val="002675E2"/>
    <w:pPr>
      <w:spacing w:line="240" w:lineRule="auto"/>
    </w:pPr>
    <w:rPr>
      <w:i/>
      <w:iCs/>
    </w:rPr>
  </w:style>
  <w:style w:type="character" w:customStyle="1" w:styleId="HTMLAddressChar">
    <w:name w:val="HTML Address Char"/>
    <w:link w:val="HTMLAddress1"/>
    <w:uiPriority w:val="99"/>
    <w:semiHidden/>
    <w:rsid w:val="002675E2"/>
    <w:rPr>
      <w:rFonts w:ascii="Arial" w:eastAsia="Times New Roman" w:hAnsi="Arial" w:cs="Times New Roman"/>
      <w:i/>
      <w:iCs/>
      <w:sz w:val="20"/>
      <w:szCs w:val="24"/>
    </w:rPr>
  </w:style>
  <w:style w:type="character" w:styleId="HTMLCite">
    <w:name w:val="HTML Cite"/>
    <w:semiHidden/>
    <w:unhideWhenUsed/>
    <w:rsid w:val="002675E2"/>
    <w:rPr>
      <w:rFonts w:ascii="Arial" w:hAnsi="Arial"/>
      <w:i/>
      <w:iCs/>
    </w:rPr>
  </w:style>
  <w:style w:type="character" w:styleId="HTMLCode">
    <w:name w:val="HTML Code"/>
    <w:uiPriority w:val="99"/>
    <w:semiHidden/>
    <w:unhideWhenUsed/>
    <w:rsid w:val="002675E2"/>
    <w:rPr>
      <w:rFonts w:ascii="Arial" w:hAnsi="Arial"/>
      <w:sz w:val="20"/>
      <w:szCs w:val="20"/>
    </w:rPr>
  </w:style>
  <w:style w:type="character" w:styleId="HTMLDefinition">
    <w:name w:val="HTML Definition"/>
    <w:semiHidden/>
    <w:unhideWhenUsed/>
    <w:rsid w:val="002675E2"/>
    <w:rPr>
      <w:rFonts w:ascii="Arial" w:hAnsi="Arial"/>
      <w:i/>
      <w:iCs/>
    </w:rPr>
  </w:style>
  <w:style w:type="character" w:styleId="HTMLKeyboard">
    <w:name w:val="HTML Keyboard"/>
    <w:uiPriority w:val="99"/>
    <w:semiHidden/>
    <w:unhideWhenUsed/>
    <w:rsid w:val="002675E2"/>
    <w:rPr>
      <w:rFonts w:ascii="Arial" w:hAnsi="Arial"/>
      <w:sz w:val="20"/>
      <w:szCs w:val="20"/>
    </w:rPr>
  </w:style>
  <w:style w:type="paragraph" w:styleId="HTMLPreformatted">
    <w:name w:val="HTML Preformatted"/>
    <w:basedOn w:val="Normal"/>
    <w:link w:val="HTMLPreformattedChar"/>
    <w:uiPriority w:val="99"/>
    <w:semiHidden/>
    <w:unhideWhenUsed/>
    <w:rsid w:val="002675E2"/>
    <w:pPr>
      <w:spacing w:line="240" w:lineRule="auto"/>
    </w:pPr>
    <w:rPr>
      <w:szCs w:val="20"/>
    </w:rPr>
  </w:style>
  <w:style w:type="character" w:customStyle="1" w:styleId="HTMLPreformattedChar">
    <w:name w:val="HTML Preformatted Char"/>
    <w:link w:val="HTMLPreformatted"/>
    <w:uiPriority w:val="99"/>
    <w:semiHidden/>
    <w:rsid w:val="002675E2"/>
    <w:rPr>
      <w:rFonts w:ascii="Arial" w:eastAsia="Times New Roman" w:hAnsi="Arial" w:cs="Times New Roman"/>
      <w:sz w:val="20"/>
      <w:szCs w:val="20"/>
    </w:rPr>
  </w:style>
  <w:style w:type="paragraph" w:styleId="IntenseQuote">
    <w:name w:val="Intense Quote"/>
    <w:basedOn w:val="Normal"/>
    <w:next w:val="Normal"/>
    <w:link w:val="IntenseQuoteChar"/>
    <w:uiPriority w:val="30"/>
    <w:qFormat/>
    <w:rsid w:val="002675E2"/>
    <w:pPr>
      <w:pBdr>
        <w:bottom w:val="single" w:sz="4" w:space="4" w:color="00A0AF" w:themeColor="accent1"/>
      </w:pBdr>
      <w:spacing w:before="200" w:after="280"/>
      <w:ind w:left="936" w:right="936"/>
    </w:pPr>
    <w:rPr>
      <w:b/>
      <w:bCs/>
      <w:i/>
      <w:iCs/>
      <w:color w:val="00A0AF" w:themeColor="accent1"/>
    </w:rPr>
  </w:style>
  <w:style w:type="character" w:customStyle="1" w:styleId="IntenseQuoteChar">
    <w:name w:val="Intense Quote Char"/>
    <w:link w:val="IntenseQuote"/>
    <w:uiPriority w:val="30"/>
    <w:rsid w:val="002675E2"/>
    <w:rPr>
      <w:b/>
      <w:bCs/>
      <w:i/>
      <w:iCs/>
      <w:color w:val="00A0AF" w:themeColor="accent1"/>
    </w:rPr>
  </w:style>
  <w:style w:type="character" w:styleId="IntenseReference">
    <w:name w:val="Intense Reference"/>
    <w:uiPriority w:val="32"/>
    <w:qFormat/>
    <w:rsid w:val="002675E2"/>
    <w:rPr>
      <w:b/>
      <w:bCs/>
      <w:smallCaps/>
      <w:color w:val="4F8636" w:themeColor="accent2"/>
      <w:spacing w:val="5"/>
      <w:u w:val="single"/>
    </w:rPr>
  </w:style>
  <w:style w:type="paragraph" w:styleId="Subtitle">
    <w:name w:val="Subtitle"/>
    <w:basedOn w:val="Normal"/>
    <w:next w:val="Normal"/>
    <w:link w:val="SubtitleChar"/>
    <w:uiPriority w:val="11"/>
    <w:qFormat/>
    <w:rsid w:val="00997C65"/>
    <w:pPr>
      <w:numPr>
        <w:ilvl w:val="1"/>
      </w:numPr>
    </w:pPr>
    <w:rPr>
      <w:rFonts w:eastAsia="Times New Roman" w:cs="Times New Roman"/>
      <w:iCs/>
      <w:color w:val="808080" w:themeColor="background1" w:themeShade="80"/>
      <w:spacing w:val="15"/>
      <w:sz w:val="30"/>
      <w:szCs w:val="30"/>
    </w:rPr>
  </w:style>
  <w:style w:type="character" w:customStyle="1" w:styleId="SubtitleChar">
    <w:name w:val="Subtitle Char"/>
    <w:link w:val="Subtitle"/>
    <w:uiPriority w:val="11"/>
    <w:rsid w:val="00997C65"/>
    <w:rPr>
      <w:rFonts w:eastAsia="Times New Roman" w:cs="Times New Roman"/>
      <w:iCs/>
      <w:color w:val="808080" w:themeColor="background1" w:themeShade="80"/>
      <w:spacing w:val="15"/>
      <w:sz w:val="30"/>
      <w:szCs w:val="30"/>
    </w:rPr>
  </w:style>
  <w:style w:type="character" w:styleId="SubtleReference">
    <w:name w:val="Subtle Reference"/>
    <w:uiPriority w:val="31"/>
    <w:qFormat/>
    <w:rsid w:val="002675E2"/>
    <w:rPr>
      <w:smallCaps/>
      <w:color w:val="4F8636" w:themeColor="accent2"/>
      <w:u w:val="single"/>
    </w:rPr>
  </w:style>
  <w:style w:type="paragraph" w:styleId="BlockText">
    <w:name w:val="Block Text"/>
    <w:basedOn w:val="Normal"/>
    <w:uiPriority w:val="99"/>
    <w:semiHidden/>
    <w:unhideWhenUsed/>
    <w:rsid w:val="002675E2"/>
    <w:pPr>
      <w:pBdr>
        <w:top w:val="single" w:sz="2" w:space="10" w:color="auto"/>
        <w:left w:val="single" w:sz="2" w:space="10" w:color="auto"/>
        <w:bottom w:val="single" w:sz="2" w:space="10" w:color="auto"/>
        <w:right w:val="single" w:sz="2" w:space="10" w:color="auto"/>
      </w:pBdr>
      <w:ind w:left="1152" w:right="1152"/>
    </w:pPr>
    <w:rPr>
      <w:rFonts w:eastAsia="Times New Roman" w:cs="Times New Roman"/>
      <w:i/>
      <w:iCs/>
    </w:rPr>
  </w:style>
  <w:style w:type="paragraph" w:styleId="BodyText2">
    <w:name w:val="Body Text 2"/>
    <w:basedOn w:val="Normal"/>
    <w:link w:val="BodyText2Char"/>
    <w:rsid w:val="002675E2"/>
    <w:pPr>
      <w:spacing w:line="480" w:lineRule="auto"/>
      <w:ind w:left="567"/>
    </w:pPr>
  </w:style>
  <w:style w:type="character" w:customStyle="1" w:styleId="BodyText2Char">
    <w:name w:val="Body Text 2 Char"/>
    <w:link w:val="BodyText2"/>
    <w:rsid w:val="002675E2"/>
    <w:rPr>
      <w:rFonts w:ascii="Arial" w:eastAsia="Times New Roman" w:hAnsi="Arial" w:cs="Times New Roman"/>
      <w:sz w:val="20"/>
      <w:szCs w:val="24"/>
    </w:rPr>
  </w:style>
  <w:style w:type="paragraph" w:styleId="BodyText3">
    <w:name w:val="Body Text 3"/>
    <w:basedOn w:val="Normal"/>
    <w:link w:val="BodyText3Char"/>
    <w:uiPriority w:val="99"/>
    <w:semiHidden/>
    <w:unhideWhenUsed/>
    <w:rsid w:val="002675E2"/>
    <w:pPr>
      <w:ind w:left="1701"/>
    </w:pPr>
    <w:rPr>
      <w:sz w:val="16"/>
      <w:szCs w:val="16"/>
    </w:rPr>
  </w:style>
  <w:style w:type="character" w:customStyle="1" w:styleId="BodyText3Char">
    <w:name w:val="Body Text 3 Char"/>
    <w:link w:val="BodyText3"/>
    <w:uiPriority w:val="99"/>
    <w:semiHidden/>
    <w:rsid w:val="002675E2"/>
    <w:rPr>
      <w:rFonts w:ascii="Arial" w:eastAsia="Times New Roman" w:hAnsi="Arial" w:cs="Times New Roman"/>
      <w:sz w:val="16"/>
      <w:szCs w:val="16"/>
    </w:rPr>
  </w:style>
  <w:style w:type="paragraph" w:styleId="Closing">
    <w:name w:val="Closing"/>
    <w:basedOn w:val="Normal"/>
    <w:link w:val="ClosingChar"/>
    <w:uiPriority w:val="99"/>
    <w:semiHidden/>
    <w:unhideWhenUsed/>
    <w:rsid w:val="002675E2"/>
    <w:pPr>
      <w:spacing w:line="240" w:lineRule="auto"/>
    </w:pPr>
  </w:style>
  <w:style w:type="character" w:customStyle="1" w:styleId="ClosingChar">
    <w:name w:val="Closing Char"/>
    <w:link w:val="Closing"/>
    <w:uiPriority w:val="99"/>
    <w:semiHidden/>
    <w:rsid w:val="002675E2"/>
    <w:rPr>
      <w:rFonts w:ascii="Arial" w:eastAsia="Times New Roman" w:hAnsi="Arial" w:cs="Times New Roman"/>
      <w:sz w:val="20"/>
      <w:szCs w:val="24"/>
    </w:rPr>
  </w:style>
  <w:style w:type="character" w:customStyle="1" w:styleId="ListBulletChar">
    <w:name w:val="List Bullet Char"/>
    <w:link w:val="ListBullet"/>
    <w:rsid w:val="00CB16AC"/>
    <w:rPr>
      <w:sz w:val="22"/>
      <w:szCs w:val="22"/>
      <w:lang w:val="en-US" w:eastAsia="en-US"/>
    </w:rPr>
  </w:style>
  <w:style w:type="character" w:customStyle="1" w:styleId="ListNumberChar">
    <w:name w:val="List Number Char"/>
    <w:basedOn w:val="ListBulletChar"/>
    <w:link w:val="ListNumber"/>
    <w:rsid w:val="00CB16AC"/>
    <w:rPr>
      <w:sz w:val="22"/>
      <w:szCs w:val="22"/>
      <w:lang w:val="en-US" w:eastAsia="en-US"/>
    </w:rPr>
  </w:style>
  <w:style w:type="character" w:customStyle="1" w:styleId="ListBullet2Char">
    <w:name w:val="List Bullet 2 Char"/>
    <w:basedOn w:val="ListBulletChar"/>
    <w:link w:val="ListBullet2"/>
    <w:semiHidden/>
    <w:rsid w:val="00CB16AC"/>
    <w:rPr>
      <w:sz w:val="22"/>
      <w:szCs w:val="22"/>
      <w:lang w:val="en-US" w:eastAsia="en-US"/>
    </w:rPr>
  </w:style>
  <w:style w:type="character" w:customStyle="1" w:styleId="TableTextChar">
    <w:name w:val="Table Text Char"/>
    <w:link w:val="TableText"/>
    <w:rsid w:val="009A157E"/>
    <w:rPr>
      <w:bCs/>
      <w:sz w:val="22"/>
      <w:szCs w:val="22"/>
      <w:lang w:eastAsia="en-US"/>
    </w:rPr>
  </w:style>
  <w:style w:type="character" w:customStyle="1" w:styleId="TableTextBulletListChar">
    <w:name w:val="Table Text Bullet List Char"/>
    <w:link w:val="TableTextBulletList"/>
    <w:rsid w:val="00CB16AC"/>
    <w:rPr>
      <w:rFonts w:ascii="Arial" w:hAnsi="Arial" w:cs="Times New Roman"/>
      <w:sz w:val="20"/>
      <w:szCs w:val="24"/>
    </w:rPr>
  </w:style>
  <w:style w:type="character" w:customStyle="1" w:styleId="TableTextHeadingChar">
    <w:name w:val="Table Text Heading Char"/>
    <w:link w:val="TableTextHeading"/>
    <w:rsid w:val="009A157E"/>
    <w:rPr>
      <w:b/>
      <w:bCs/>
      <w:sz w:val="22"/>
      <w:szCs w:val="22"/>
      <w:lang w:eastAsia="en-US"/>
    </w:rPr>
  </w:style>
  <w:style w:type="paragraph" w:styleId="TOC1">
    <w:name w:val="toc 1"/>
    <w:next w:val="Normal"/>
    <w:link w:val="TOC1Char"/>
    <w:uiPriority w:val="39"/>
    <w:unhideWhenUsed/>
    <w:rsid w:val="00D929BE"/>
    <w:pPr>
      <w:tabs>
        <w:tab w:val="left" w:pos="440"/>
        <w:tab w:val="right" w:leader="dot" w:pos="9016"/>
      </w:tabs>
      <w:spacing w:before="60" w:after="60"/>
    </w:pPr>
    <w:rPr>
      <w:szCs w:val="24"/>
      <w:lang w:eastAsia="en-US"/>
    </w:rPr>
  </w:style>
  <w:style w:type="paragraph" w:styleId="TOC2">
    <w:name w:val="toc 2"/>
    <w:basedOn w:val="Normal"/>
    <w:next w:val="Normal"/>
    <w:autoRedefine/>
    <w:uiPriority w:val="39"/>
    <w:unhideWhenUsed/>
    <w:rsid w:val="00A10A9D"/>
    <w:pPr>
      <w:tabs>
        <w:tab w:val="left" w:pos="880"/>
        <w:tab w:val="right" w:leader="dot" w:pos="9016"/>
      </w:tabs>
      <w:spacing w:before="60" w:after="60"/>
      <w:ind w:left="1304" w:hanging="879"/>
    </w:pPr>
    <w:rPr>
      <w:rFonts w:ascii="Calibri" w:hAnsi="Calibri"/>
    </w:rPr>
  </w:style>
  <w:style w:type="character" w:customStyle="1" w:styleId="TOC1Char">
    <w:name w:val="TOC 1 Char"/>
    <w:link w:val="TOC1"/>
    <w:uiPriority w:val="39"/>
    <w:rsid w:val="00D929BE"/>
    <w:rPr>
      <w:szCs w:val="24"/>
      <w:lang w:val="en-NZ" w:eastAsia="en-US" w:bidi="ar-SA"/>
    </w:rPr>
  </w:style>
  <w:style w:type="paragraph" w:styleId="TOC3">
    <w:name w:val="toc 3"/>
    <w:basedOn w:val="Normal"/>
    <w:next w:val="Normal"/>
    <w:autoRedefine/>
    <w:uiPriority w:val="39"/>
    <w:semiHidden/>
    <w:unhideWhenUsed/>
    <w:rsid w:val="00A10A9D"/>
    <w:pPr>
      <w:ind w:left="400"/>
    </w:pPr>
    <w:rPr>
      <w:rFonts w:ascii="Calibri" w:hAnsi="Calibri"/>
    </w:rPr>
  </w:style>
  <w:style w:type="paragraph" w:styleId="TOC9">
    <w:name w:val="toc 9"/>
    <w:basedOn w:val="Normal"/>
    <w:next w:val="Normal"/>
    <w:autoRedefine/>
    <w:semiHidden/>
    <w:unhideWhenUsed/>
    <w:rsid w:val="00A10A9D"/>
    <w:pPr>
      <w:ind w:left="1600"/>
    </w:pPr>
  </w:style>
  <w:style w:type="paragraph" w:styleId="FootnoteText">
    <w:name w:val="footnote text"/>
    <w:basedOn w:val="Normal"/>
    <w:link w:val="FootnoteTextChar"/>
    <w:semiHidden/>
    <w:rsid w:val="00F90A36"/>
    <w:pPr>
      <w:spacing w:after="200"/>
      <w:jc w:val="left"/>
    </w:pPr>
    <w:rPr>
      <w:szCs w:val="20"/>
      <w:lang w:val="en-US" w:bidi="en-US"/>
    </w:rPr>
  </w:style>
  <w:style w:type="paragraph" w:styleId="TableofFigures">
    <w:name w:val="table of figures"/>
    <w:basedOn w:val="Normal"/>
    <w:next w:val="Normal"/>
    <w:uiPriority w:val="99"/>
    <w:unhideWhenUsed/>
    <w:rsid w:val="00C94F0B"/>
    <w:rPr>
      <w:rFonts w:ascii="Calibri" w:hAnsi="Calibri"/>
    </w:rPr>
  </w:style>
  <w:style w:type="character" w:customStyle="1" w:styleId="FootnoteTextChar">
    <w:name w:val="Footnote Text Char"/>
    <w:link w:val="FootnoteText"/>
    <w:semiHidden/>
    <w:rsid w:val="00F90A36"/>
    <w:rPr>
      <w:lang w:val="en-US" w:eastAsia="en-US" w:bidi="en-US"/>
    </w:rPr>
  </w:style>
  <w:style w:type="character" w:customStyle="1" w:styleId="CaptionChar">
    <w:name w:val="Caption Char"/>
    <w:link w:val="Caption"/>
    <w:uiPriority w:val="35"/>
    <w:rsid w:val="00F90A36"/>
    <w:rPr>
      <w:b/>
      <w:bCs/>
      <w:color w:val="00A0AF" w:themeColor="accent1"/>
      <w:sz w:val="18"/>
      <w:szCs w:val="18"/>
    </w:rPr>
  </w:style>
  <w:style w:type="paragraph" w:styleId="ListParagraph">
    <w:name w:val="List Paragraph"/>
    <w:basedOn w:val="Normal"/>
    <w:uiPriority w:val="34"/>
    <w:qFormat/>
    <w:rsid w:val="00C13176"/>
    <w:pPr>
      <w:ind w:left="720"/>
      <w:contextualSpacing/>
    </w:pPr>
  </w:style>
  <w:style w:type="character" w:styleId="SubtleEmphasis">
    <w:name w:val="Subtle Emphasis"/>
    <w:uiPriority w:val="19"/>
    <w:qFormat/>
    <w:rsid w:val="00C13176"/>
    <w:rPr>
      <w:i/>
      <w:iCs/>
      <w:color w:val="808080"/>
    </w:rPr>
  </w:style>
  <w:style w:type="paragraph" w:styleId="EndnoteText">
    <w:name w:val="endnote text"/>
    <w:basedOn w:val="Normal"/>
    <w:link w:val="EndnoteTextChar"/>
    <w:uiPriority w:val="99"/>
    <w:semiHidden/>
    <w:unhideWhenUsed/>
    <w:rsid w:val="00A6429F"/>
    <w:pPr>
      <w:spacing w:after="0" w:line="240" w:lineRule="auto"/>
    </w:pPr>
    <w:rPr>
      <w:szCs w:val="20"/>
    </w:rPr>
  </w:style>
  <w:style w:type="character" w:customStyle="1" w:styleId="EndnoteTextChar">
    <w:name w:val="Endnote Text Char"/>
    <w:basedOn w:val="DefaultParagraphFont"/>
    <w:link w:val="EndnoteText"/>
    <w:uiPriority w:val="99"/>
    <w:semiHidden/>
    <w:rsid w:val="00A6429F"/>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0"/>
    <w:lsdException w:name="footnote text" w:uiPriority="0"/>
    <w:lsdException w:name="footer" w:uiPriority="0"/>
    <w:lsdException w:name="index heading" w:uiPriority="0"/>
    <w:lsdException w:name="caption" w:uiPriority="35" w:qFormat="1"/>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toa heading" w:uiPriority="0"/>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Salutation" w:uiPriority="0"/>
    <w:lsdException w:name="Body Text 2"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Acronym" w:uiPriority="0"/>
    <w:lsdException w:name="HTML Cite" w:uiPriority="0"/>
    <w:lsdException w:name="HTML Definition" w:uiPriority="0"/>
    <w:lsdException w:name="HTML Variab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B68"/>
    <w:pPr>
      <w:spacing w:after="120"/>
      <w:jc w:val="both"/>
    </w:pPr>
    <w:rPr>
      <w:sz w:val="20"/>
    </w:rPr>
  </w:style>
  <w:style w:type="paragraph" w:styleId="Heading1">
    <w:name w:val="heading 1"/>
    <w:basedOn w:val="Normal"/>
    <w:next w:val="Normal"/>
    <w:link w:val="Heading1Char"/>
    <w:uiPriority w:val="9"/>
    <w:qFormat/>
    <w:rsid w:val="00A557E1"/>
    <w:pPr>
      <w:keepNext/>
      <w:keepLines/>
      <w:spacing w:before="120" w:after="0"/>
      <w:ind w:left="454" w:hanging="454"/>
      <w:outlineLvl w:val="0"/>
    </w:pPr>
    <w:rPr>
      <w:rFonts w:eastAsia="Times New Roman" w:cs="Times New Roman"/>
      <w:bCs/>
      <w:sz w:val="30"/>
      <w:szCs w:val="30"/>
    </w:rPr>
  </w:style>
  <w:style w:type="paragraph" w:styleId="Heading2">
    <w:name w:val="heading 2"/>
    <w:basedOn w:val="Normal"/>
    <w:next w:val="Normal"/>
    <w:link w:val="Heading2Char"/>
    <w:uiPriority w:val="9"/>
    <w:unhideWhenUsed/>
    <w:qFormat/>
    <w:rsid w:val="00A557E1"/>
    <w:pPr>
      <w:keepNext/>
      <w:keepLines/>
      <w:spacing w:before="200" w:after="0"/>
      <w:ind w:left="907" w:hanging="567"/>
      <w:outlineLvl w:val="1"/>
    </w:pPr>
    <w:rPr>
      <w:rFonts w:eastAsia="Times New Roman" w:cs="Times New Roman"/>
      <w:bCs/>
      <w:sz w:val="26"/>
      <w:szCs w:val="26"/>
    </w:rPr>
  </w:style>
  <w:style w:type="paragraph" w:styleId="Heading3">
    <w:name w:val="heading 3"/>
    <w:basedOn w:val="Normal"/>
    <w:next w:val="Normal"/>
    <w:link w:val="Heading3Char"/>
    <w:uiPriority w:val="9"/>
    <w:semiHidden/>
    <w:unhideWhenUsed/>
    <w:qFormat/>
    <w:rsid w:val="00C13176"/>
    <w:pPr>
      <w:keepNext/>
      <w:keepLines/>
      <w:spacing w:before="200" w:after="0"/>
      <w:outlineLvl w:val="2"/>
    </w:pPr>
    <w:rPr>
      <w:rFonts w:eastAsia="Times New Roman" w:cs="Times New Roman"/>
      <w:bCs/>
    </w:rPr>
  </w:style>
  <w:style w:type="paragraph" w:styleId="Heading4">
    <w:name w:val="heading 4"/>
    <w:basedOn w:val="Normal"/>
    <w:next w:val="Normal"/>
    <w:link w:val="Heading4Char"/>
    <w:uiPriority w:val="9"/>
    <w:semiHidden/>
    <w:unhideWhenUsed/>
    <w:qFormat/>
    <w:rsid w:val="00C13176"/>
    <w:pPr>
      <w:keepNext/>
      <w:keepLines/>
      <w:spacing w:before="200" w:after="0"/>
      <w:outlineLvl w:val="3"/>
    </w:pPr>
    <w:rPr>
      <w:rFonts w:eastAsia="Times New Roman" w:cs="Times New Roman"/>
      <w:bCs/>
      <w:i/>
      <w:iCs/>
    </w:rPr>
  </w:style>
  <w:style w:type="paragraph" w:styleId="Heading5">
    <w:name w:val="heading 5"/>
    <w:basedOn w:val="Heading4"/>
    <w:next w:val="Normal"/>
    <w:link w:val="Heading5Char"/>
    <w:uiPriority w:val="9"/>
    <w:semiHidden/>
    <w:unhideWhenUsed/>
    <w:qFormat/>
    <w:rsid w:val="002675E2"/>
    <w:pPr>
      <w:outlineLvl w:val="4"/>
    </w:pPr>
    <w:rPr>
      <w:rFonts w:asciiTheme="majorHAnsi" w:eastAsiaTheme="majorEastAsia" w:hAnsiTheme="majorHAnsi" w:cstheme="majorBidi"/>
      <w:bCs w:val="0"/>
      <w:i w:val="0"/>
      <w:iCs w:val="0"/>
      <w:color w:val="004F57" w:themeColor="accent1" w:themeShade="7F"/>
    </w:rPr>
  </w:style>
  <w:style w:type="paragraph" w:styleId="Heading6">
    <w:name w:val="heading 6"/>
    <w:basedOn w:val="Heading5"/>
    <w:next w:val="Normal"/>
    <w:link w:val="Heading6Char"/>
    <w:uiPriority w:val="9"/>
    <w:semiHidden/>
    <w:unhideWhenUsed/>
    <w:qFormat/>
    <w:rsid w:val="002675E2"/>
    <w:pPr>
      <w:outlineLvl w:val="5"/>
    </w:pPr>
    <w:rPr>
      <w:i/>
      <w:iCs/>
    </w:rPr>
  </w:style>
  <w:style w:type="paragraph" w:styleId="Heading7">
    <w:name w:val="heading 7"/>
    <w:basedOn w:val="Heading6"/>
    <w:next w:val="Normal"/>
    <w:link w:val="Heading7Char"/>
    <w:uiPriority w:val="9"/>
    <w:semiHidden/>
    <w:unhideWhenUsed/>
    <w:qFormat/>
    <w:rsid w:val="002675E2"/>
    <w:pPr>
      <w:outlineLvl w:val="6"/>
    </w:pPr>
    <w:rPr>
      <w:color w:val="404040" w:themeColor="text1" w:themeTint="BF"/>
    </w:rPr>
  </w:style>
  <w:style w:type="paragraph" w:styleId="Heading8">
    <w:name w:val="heading 8"/>
    <w:basedOn w:val="Heading7"/>
    <w:next w:val="Normal"/>
    <w:link w:val="Heading8Char"/>
    <w:uiPriority w:val="9"/>
    <w:semiHidden/>
    <w:unhideWhenUsed/>
    <w:qFormat/>
    <w:rsid w:val="002675E2"/>
    <w:pPr>
      <w:outlineLvl w:val="7"/>
    </w:pPr>
    <w:rPr>
      <w:i w:val="0"/>
      <w:iCs w:val="0"/>
      <w:szCs w:val="20"/>
    </w:rPr>
  </w:style>
  <w:style w:type="paragraph" w:styleId="Heading9">
    <w:name w:val="heading 9"/>
    <w:basedOn w:val="Heading8"/>
    <w:next w:val="Normal"/>
    <w:link w:val="Heading9Char"/>
    <w:uiPriority w:val="9"/>
    <w:semiHidden/>
    <w:unhideWhenUsed/>
    <w:qFormat/>
    <w:rsid w:val="002675E2"/>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1195"/>
    <w:pPr>
      <w:spacing w:before="120"/>
    </w:pPr>
    <w:rPr>
      <w:rFonts w:ascii="Calibri" w:hAnsi="Calibri"/>
    </w:rPr>
  </w:style>
  <w:style w:type="character" w:customStyle="1" w:styleId="BodyTextChar">
    <w:name w:val="Body Text Char"/>
    <w:link w:val="BodyText"/>
    <w:rsid w:val="002C1195"/>
    <w:rPr>
      <w:sz w:val="22"/>
      <w:szCs w:val="22"/>
      <w:lang w:eastAsia="en-US"/>
    </w:rPr>
  </w:style>
  <w:style w:type="character" w:customStyle="1" w:styleId="Heading1Char">
    <w:name w:val="Heading 1 Char"/>
    <w:link w:val="Heading1"/>
    <w:uiPriority w:val="9"/>
    <w:rsid w:val="00A557E1"/>
    <w:rPr>
      <w:rFonts w:eastAsia="Times New Roman" w:cs="Times New Roman"/>
      <w:bCs/>
      <w:sz w:val="30"/>
      <w:szCs w:val="30"/>
    </w:rPr>
  </w:style>
  <w:style w:type="character" w:customStyle="1" w:styleId="Heading2Char">
    <w:name w:val="Heading 2 Char"/>
    <w:link w:val="Heading2"/>
    <w:uiPriority w:val="9"/>
    <w:rsid w:val="00A557E1"/>
    <w:rPr>
      <w:rFonts w:eastAsia="Times New Roman" w:cs="Times New Roman"/>
      <w:bCs/>
      <w:sz w:val="26"/>
      <w:szCs w:val="26"/>
    </w:rPr>
  </w:style>
  <w:style w:type="character" w:customStyle="1" w:styleId="Heading3Char">
    <w:name w:val="Heading 3 Char"/>
    <w:link w:val="Heading3"/>
    <w:uiPriority w:val="9"/>
    <w:semiHidden/>
    <w:rsid w:val="00C13176"/>
    <w:rPr>
      <w:rFonts w:eastAsia="Times New Roman" w:cs="Times New Roman"/>
      <w:bCs/>
    </w:rPr>
  </w:style>
  <w:style w:type="character" w:customStyle="1" w:styleId="Heading4Char">
    <w:name w:val="Heading 4 Char"/>
    <w:link w:val="Heading4"/>
    <w:uiPriority w:val="9"/>
    <w:semiHidden/>
    <w:rsid w:val="00C13176"/>
    <w:rPr>
      <w:rFonts w:eastAsia="Times New Roman" w:cs="Times New Roman"/>
      <w:bCs/>
      <w:i/>
      <w:iCs/>
    </w:rPr>
  </w:style>
  <w:style w:type="character" w:customStyle="1" w:styleId="Heading5Char">
    <w:name w:val="Heading 5 Char"/>
    <w:link w:val="Heading5"/>
    <w:uiPriority w:val="9"/>
    <w:semiHidden/>
    <w:rsid w:val="002675E2"/>
    <w:rPr>
      <w:rFonts w:asciiTheme="majorHAnsi" w:eastAsiaTheme="majorEastAsia" w:hAnsiTheme="majorHAnsi" w:cstheme="majorBidi"/>
      <w:color w:val="004F57" w:themeColor="accent1" w:themeShade="7F"/>
    </w:rPr>
  </w:style>
  <w:style w:type="character" w:customStyle="1" w:styleId="Heading6Char">
    <w:name w:val="Heading 6 Char"/>
    <w:link w:val="Heading6"/>
    <w:uiPriority w:val="9"/>
    <w:semiHidden/>
    <w:rsid w:val="002675E2"/>
    <w:rPr>
      <w:rFonts w:asciiTheme="majorHAnsi" w:eastAsiaTheme="majorEastAsia" w:hAnsiTheme="majorHAnsi" w:cstheme="majorBidi"/>
      <w:i/>
      <w:iCs/>
      <w:color w:val="004F57" w:themeColor="accent1" w:themeShade="7F"/>
    </w:rPr>
  </w:style>
  <w:style w:type="character" w:customStyle="1" w:styleId="Heading7Char">
    <w:name w:val="Heading 7 Char"/>
    <w:link w:val="Heading7"/>
    <w:uiPriority w:val="9"/>
    <w:semiHidden/>
    <w:rsid w:val="002675E2"/>
    <w:rPr>
      <w:rFonts w:asciiTheme="majorHAnsi" w:eastAsiaTheme="majorEastAsia" w:hAnsiTheme="majorHAnsi" w:cstheme="majorBidi"/>
      <w:i/>
      <w:iCs/>
      <w:color w:val="404040" w:themeColor="text1" w:themeTint="BF"/>
    </w:rPr>
  </w:style>
  <w:style w:type="character" w:customStyle="1" w:styleId="Heading8Char">
    <w:name w:val="Heading 8 Char"/>
    <w:link w:val="Heading8"/>
    <w:uiPriority w:val="9"/>
    <w:semiHidden/>
    <w:rsid w:val="002675E2"/>
    <w:rPr>
      <w:rFonts w:asciiTheme="majorHAnsi" w:eastAsiaTheme="majorEastAsia" w:hAnsiTheme="majorHAnsi" w:cstheme="majorBidi"/>
      <w:color w:val="404040" w:themeColor="text1" w:themeTint="BF"/>
      <w:sz w:val="20"/>
      <w:szCs w:val="20"/>
    </w:rPr>
  </w:style>
  <w:style w:type="character" w:customStyle="1" w:styleId="Heading9Char">
    <w:name w:val="Heading 9 Char"/>
    <w:link w:val="Heading9"/>
    <w:uiPriority w:val="9"/>
    <w:semiHidden/>
    <w:rsid w:val="002675E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2675E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2675E2"/>
    <w:rPr>
      <w:rFonts w:ascii="Tahoma" w:eastAsia="Times New Roman" w:hAnsi="Tahoma" w:cs="Tahoma"/>
      <w:sz w:val="16"/>
      <w:szCs w:val="16"/>
    </w:rPr>
  </w:style>
  <w:style w:type="paragraph" w:styleId="Title">
    <w:name w:val="Title"/>
    <w:basedOn w:val="Normal"/>
    <w:next w:val="Normal"/>
    <w:link w:val="TitleChar"/>
    <w:uiPriority w:val="10"/>
    <w:qFormat/>
    <w:rsid w:val="00997C65"/>
    <w:pPr>
      <w:pBdr>
        <w:bottom w:val="single" w:sz="8" w:space="4" w:color="004990" w:themeColor="accent3"/>
      </w:pBdr>
      <w:spacing w:after="300" w:line="240" w:lineRule="auto"/>
      <w:contextualSpacing/>
    </w:pPr>
    <w:rPr>
      <w:rFonts w:ascii="Calibri Light" w:eastAsia="Times New Roman" w:hAnsi="Calibri Light" w:cs="Times New Roman"/>
      <w:color w:val="515253"/>
      <w:spacing w:val="5"/>
      <w:kern w:val="28"/>
      <w:sz w:val="60"/>
      <w:szCs w:val="60"/>
    </w:rPr>
  </w:style>
  <w:style w:type="character" w:customStyle="1" w:styleId="TitleChar">
    <w:name w:val="Title Char"/>
    <w:link w:val="Title"/>
    <w:uiPriority w:val="10"/>
    <w:rsid w:val="00997C65"/>
    <w:rPr>
      <w:rFonts w:ascii="Calibri Light" w:eastAsia="Times New Roman" w:hAnsi="Calibri Light" w:cs="Times New Roman"/>
      <w:color w:val="515253"/>
      <w:spacing w:val="5"/>
      <w:kern w:val="28"/>
      <w:sz w:val="60"/>
      <w:szCs w:val="60"/>
    </w:rPr>
  </w:style>
  <w:style w:type="paragraph" w:styleId="TOCHeading">
    <w:name w:val="TOC Heading"/>
    <w:basedOn w:val="Heading1"/>
    <w:next w:val="Normal"/>
    <w:uiPriority w:val="39"/>
    <w:semiHidden/>
    <w:unhideWhenUsed/>
    <w:qFormat/>
    <w:rsid w:val="00C13176"/>
    <w:pPr>
      <w:outlineLvl w:val="9"/>
    </w:pPr>
    <w:rPr>
      <w:lang w:val="en-US" w:eastAsia="ja-JP"/>
    </w:rPr>
  </w:style>
  <w:style w:type="paragraph" w:styleId="Caption">
    <w:name w:val="caption"/>
    <w:basedOn w:val="Normal"/>
    <w:next w:val="Normal"/>
    <w:link w:val="CaptionChar"/>
    <w:uiPriority w:val="35"/>
    <w:unhideWhenUsed/>
    <w:qFormat/>
    <w:rsid w:val="002C1195"/>
    <w:pPr>
      <w:spacing w:line="240" w:lineRule="auto"/>
    </w:pPr>
    <w:rPr>
      <w:b/>
      <w:bCs/>
      <w:color w:val="00A0AF" w:themeColor="accent1"/>
      <w:sz w:val="18"/>
      <w:szCs w:val="18"/>
    </w:rPr>
  </w:style>
  <w:style w:type="character" w:styleId="IntenseEmphasis">
    <w:name w:val="Intense Emphasis"/>
    <w:uiPriority w:val="21"/>
    <w:qFormat/>
    <w:rsid w:val="002675E2"/>
    <w:rPr>
      <w:b/>
      <w:bCs/>
      <w:i/>
      <w:iCs/>
      <w:color w:val="00A0AF" w:themeColor="accent1"/>
    </w:rPr>
  </w:style>
  <w:style w:type="paragraph" w:styleId="BodyTextIndent">
    <w:name w:val="Body Text Indent"/>
    <w:basedOn w:val="Normal"/>
    <w:link w:val="BodyTextIndentChar"/>
    <w:semiHidden/>
    <w:unhideWhenUsed/>
    <w:rsid w:val="002675E2"/>
    <w:pPr>
      <w:ind w:left="567"/>
    </w:pPr>
  </w:style>
  <w:style w:type="character" w:customStyle="1" w:styleId="BodyTextIndentChar">
    <w:name w:val="Body Text Indent Char"/>
    <w:link w:val="BodyTextIndent"/>
    <w:semiHidden/>
    <w:rsid w:val="009A157E"/>
    <w:rPr>
      <w:rFonts w:ascii="Arial" w:eastAsia="Times New Roman" w:hAnsi="Arial" w:cs="Times New Roman"/>
      <w:sz w:val="20"/>
      <w:szCs w:val="24"/>
    </w:rPr>
  </w:style>
  <w:style w:type="character" w:styleId="CommentReference">
    <w:name w:val="annotation reference"/>
    <w:semiHidden/>
    <w:rsid w:val="002675E2"/>
    <w:rPr>
      <w:rFonts w:ascii="Arial" w:hAnsi="Arial"/>
      <w:sz w:val="16"/>
      <w:szCs w:val="16"/>
    </w:rPr>
  </w:style>
  <w:style w:type="character" w:styleId="Emphasis">
    <w:name w:val="Emphasis"/>
    <w:uiPriority w:val="20"/>
    <w:qFormat/>
    <w:rsid w:val="00C13176"/>
    <w:rPr>
      <w:i/>
      <w:iCs/>
    </w:rPr>
  </w:style>
  <w:style w:type="character" w:styleId="EndnoteReference">
    <w:name w:val="endnote reference"/>
    <w:semiHidden/>
    <w:rsid w:val="002675E2"/>
    <w:rPr>
      <w:rFonts w:ascii="Arial" w:hAnsi="Arial"/>
      <w:vertAlign w:val="superscript"/>
    </w:rPr>
  </w:style>
  <w:style w:type="character" w:styleId="FollowedHyperlink">
    <w:name w:val="FollowedHyperlink"/>
    <w:semiHidden/>
    <w:unhideWhenUsed/>
    <w:rsid w:val="002675E2"/>
    <w:rPr>
      <w:rFonts w:ascii="Arial" w:hAnsi="Arial"/>
      <w:color w:val="800080"/>
      <w:sz w:val="20"/>
      <w:u w:val="single"/>
    </w:rPr>
  </w:style>
  <w:style w:type="paragraph" w:styleId="Footer">
    <w:name w:val="footer"/>
    <w:basedOn w:val="Normal"/>
    <w:link w:val="FooterChar"/>
    <w:unhideWhenUsed/>
    <w:rsid w:val="002675E2"/>
    <w:pPr>
      <w:tabs>
        <w:tab w:val="center" w:pos="4153"/>
        <w:tab w:val="right" w:pos="8306"/>
      </w:tabs>
      <w:spacing w:line="240" w:lineRule="auto"/>
    </w:pPr>
    <w:rPr>
      <w:sz w:val="14"/>
    </w:rPr>
  </w:style>
  <w:style w:type="character" w:customStyle="1" w:styleId="FooterChar">
    <w:name w:val="Footer Char"/>
    <w:link w:val="Footer"/>
    <w:rsid w:val="009A157E"/>
    <w:rPr>
      <w:rFonts w:ascii="Arial" w:eastAsia="Times New Roman" w:hAnsi="Arial" w:cs="Times New Roman"/>
      <w:sz w:val="14"/>
      <w:szCs w:val="24"/>
    </w:rPr>
  </w:style>
  <w:style w:type="character" w:styleId="FootnoteReference">
    <w:name w:val="footnote reference"/>
    <w:semiHidden/>
    <w:rsid w:val="002675E2"/>
    <w:rPr>
      <w:rFonts w:ascii="Arial" w:hAnsi="Arial"/>
      <w:vertAlign w:val="superscript"/>
    </w:rPr>
  </w:style>
  <w:style w:type="paragraph" w:customStyle="1" w:styleId="Graphic">
    <w:name w:val="Graphic"/>
    <w:basedOn w:val="Normal"/>
    <w:next w:val="BodyText"/>
    <w:rsid w:val="002675E2"/>
    <w:pPr>
      <w:jc w:val="center"/>
    </w:pPr>
  </w:style>
  <w:style w:type="paragraph" w:styleId="Header">
    <w:name w:val="header"/>
    <w:basedOn w:val="Normal"/>
    <w:link w:val="HeaderChar"/>
    <w:uiPriority w:val="99"/>
    <w:unhideWhenUsed/>
    <w:rsid w:val="002675E2"/>
    <w:pPr>
      <w:tabs>
        <w:tab w:val="center" w:pos="4153"/>
        <w:tab w:val="right" w:pos="8306"/>
      </w:tabs>
    </w:pPr>
    <w:rPr>
      <w:sz w:val="14"/>
    </w:rPr>
  </w:style>
  <w:style w:type="character" w:customStyle="1" w:styleId="HeaderChar">
    <w:name w:val="Header Char"/>
    <w:link w:val="Header"/>
    <w:uiPriority w:val="99"/>
    <w:rsid w:val="009A157E"/>
    <w:rPr>
      <w:rFonts w:ascii="Arial" w:eastAsia="Times New Roman" w:hAnsi="Arial" w:cs="Times New Roman"/>
      <w:sz w:val="14"/>
      <w:szCs w:val="24"/>
    </w:rPr>
  </w:style>
  <w:style w:type="character" w:styleId="Hyperlink">
    <w:name w:val="Hyperlink"/>
    <w:uiPriority w:val="99"/>
    <w:unhideWhenUsed/>
    <w:rsid w:val="00AB4077"/>
    <w:rPr>
      <w:rFonts w:asciiTheme="minorHAnsi" w:hAnsiTheme="minorHAnsi"/>
      <w:color w:val="0000FF"/>
      <w:sz w:val="20"/>
      <w:u w:val="single"/>
    </w:rPr>
  </w:style>
  <w:style w:type="paragraph" w:styleId="Index1">
    <w:name w:val="index 1"/>
    <w:basedOn w:val="Normal"/>
    <w:next w:val="Normal"/>
    <w:autoRedefine/>
    <w:semiHidden/>
    <w:rsid w:val="002675E2"/>
    <w:pPr>
      <w:ind w:left="200" w:hanging="200"/>
    </w:pPr>
  </w:style>
  <w:style w:type="paragraph" w:styleId="IndexHeading">
    <w:name w:val="index heading"/>
    <w:basedOn w:val="Normal"/>
    <w:next w:val="Index1"/>
    <w:semiHidden/>
    <w:rsid w:val="002675E2"/>
    <w:rPr>
      <w:rFonts w:cs="Arial"/>
      <w:b/>
      <w:bCs/>
    </w:rPr>
  </w:style>
  <w:style w:type="character" w:styleId="LineNumber">
    <w:name w:val="line number"/>
    <w:semiHidden/>
    <w:unhideWhenUsed/>
    <w:rsid w:val="002675E2"/>
    <w:rPr>
      <w:rFonts w:ascii="Arial" w:hAnsi="Arial"/>
    </w:rPr>
  </w:style>
  <w:style w:type="paragraph" w:styleId="ListBullet">
    <w:name w:val="List Bullet"/>
    <w:basedOn w:val="BodyText"/>
    <w:link w:val="ListBulletChar"/>
    <w:rsid w:val="00CB16AC"/>
    <w:pPr>
      <w:ind w:left="360" w:hanging="360"/>
    </w:pPr>
    <w:rPr>
      <w:lang w:val="en-US"/>
    </w:rPr>
  </w:style>
  <w:style w:type="paragraph" w:styleId="ListBullet2">
    <w:name w:val="List Bullet 2"/>
    <w:basedOn w:val="BodyText"/>
    <w:link w:val="ListBullet2Char"/>
    <w:semiHidden/>
    <w:unhideWhenUsed/>
    <w:rsid w:val="00CB16AC"/>
    <w:pPr>
      <w:ind w:left="720" w:hanging="360"/>
    </w:pPr>
    <w:rPr>
      <w:lang w:val="en-US"/>
    </w:rPr>
  </w:style>
  <w:style w:type="paragraph" w:styleId="ListNumber">
    <w:name w:val="List Number"/>
    <w:basedOn w:val="ListBullet"/>
    <w:link w:val="ListNumberChar"/>
    <w:rsid w:val="00CB16AC"/>
    <w:pPr>
      <w:tabs>
        <w:tab w:val="num" w:pos="567"/>
      </w:tabs>
      <w:ind w:left="567" w:hanging="567"/>
    </w:pPr>
  </w:style>
  <w:style w:type="character" w:styleId="PageNumber">
    <w:name w:val="page number"/>
    <w:semiHidden/>
    <w:unhideWhenUsed/>
    <w:rsid w:val="002675E2"/>
    <w:rPr>
      <w:rFonts w:ascii="Arial" w:hAnsi="Arial"/>
      <w:sz w:val="12"/>
    </w:rPr>
  </w:style>
  <w:style w:type="character" w:styleId="Strong">
    <w:name w:val="Strong"/>
    <w:uiPriority w:val="22"/>
    <w:qFormat/>
    <w:rsid w:val="002675E2"/>
    <w:rPr>
      <w:b/>
      <w:bCs/>
    </w:rPr>
  </w:style>
  <w:style w:type="paragraph" w:customStyle="1" w:styleId="Subject">
    <w:name w:val="Subject"/>
    <w:basedOn w:val="BodyText"/>
    <w:rsid w:val="002675E2"/>
    <w:pPr>
      <w:spacing w:before="80" w:after="80"/>
    </w:pPr>
    <w:rPr>
      <w:b/>
      <w:caps/>
    </w:rPr>
  </w:style>
  <w:style w:type="paragraph" w:customStyle="1" w:styleId="TableText">
    <w:name w:val="Table Text"/>
    <w:basedOn w:val="BodyText"/>
    <w:link w:val="TableTextChar"/>
    <w:rsid w:val="002675E2"/>
    <w:pPr>
      <w:spacing w:before="80" w:after="80"/>
      <w:jc w:val="left"/>
    </w:pPr>
    <w:rPr>
      <w:bCs/>
    </w:rPr>
  </w:style>
  <w:style w:type="paragraph" w:customStyle="1" w:styleId="TableTextBulletList">
    <w:name w:val="Table Text Bullet List"/>
    <w:basedOn w:val="Normal"/>
    <w:link w:val="TableTextBulletListChar"/>
    <w:rsid w:val="00CB16AC"/>
    <w:pPr>
      <w:ind w:left="360" w:hanging="360"/>
      <w:contextualSpacing/>
    </w:pPr>
  </w:style>
  <w:style w:type="paragraph" w:customStyle="1" w:styleId="TableTextHeading">
    <w:name w:val="Table Text Heading"/>
    <w:basedOn w:val="TableText"/>
    <w:next w:val="TableText"/>
    <w:link w:val="TableTextHeadingChar"/>
    <w:rsid w:val="002675E2"/>
    <w:pPr>
      <w:spacing w:before="120" w:after="120"/>
    </w:pPr>
    <w:rPr>
      <w:b/>
    </w:rPr>
  </w:style>
  <w:style w:type="paragraph" w:styleId="EnvelopeReturn">
    <w:name w:val="envelope return"/>
    <w:basedOn w:val="Normal"/>
    <w:semiHidden/>
    <w:unhideWhenUsed/>
    <w:rsid w:val="002675E2"/>
    <w:pPr>
      <w:spacing w:line="240" w:lineRule="auto"/>
    </w:pPr>
    <w:rPr>
      <w:rFonts w:eastAsia="Times New Roman" w:cs="Times New Roman"/>
      <w:szCs w:val="20"/>
    </w:rPr>
  </w:style>
  <w:style w:type="paragraph" w:customStyle="1" w:styleId="EnvelopeAddress1">
    <w:name w:val="Envelope Address1"/>
    <w:basedOn w:val="Normal"/>
    <w:semiHidden/>
    <w:unhideWhenUsed/>
    <w:rsid w:val="002675E2"/>
    <w:pPr>
      <w:framePr w:w="7920" w:h="1980" w:hRule="exact" w:hSpace="180" w:wrap="auto" w:hAnchor="page" w:xAlign="center" w:yAlign="bottom"/>
      <w:spacing w:line="240" w:lineRule="auto"/>
      <w:ind w:left="2880"/>
    </w:pPr>
    <w:rPr>
      <w:rFonts w:eastAsia="Times New Roman" w:cs="Times New Roman"/>
    </w:rPr>
  </w:style>
  <w:style w:type="paragraph" w:styleId="ListBullet3">
    <w:name w:val="List Bullet 3"/>
    <w:basedOn w:val="ListBullet4"/>
    <w:uiPriority w:val="99"/>
    <w:semiHidden/>
    <w:unhideWhenUsed/>
    <w:rsid w:val="00CB16AC"/>
    <w:pPr>
      <w:ind w:left="1080"/>
    </w:pPr>
  </w:style>
  <w:style w:type="paragraph" w:styleId="ListBullet4">
    <w:name w:val="List Bullet 4"/>
    <w:basedOn w:val="Normal"/>
    <w:uiPriority w:val="99"/>
    <w:semiHidden/>
    <w:unhideWhenUsed/>
    <w:rsid w:val="00CB16AC"/>
    <w:pPr>
      <w:spacing w:before="60" w:after="60"/>
      <w:ind w:left="1440" w:hanging="360"/>
      <w:contextualSpacing/>
    </w:pPr>
  </w:style>
  <w:style w:type="paragraph" w:styleId="ListBullet5">
    <w:name w:val="List Bullet 5"/>
    <w:basedOn w:val="ListBullet4"/>
    <w:uiPriority w:val="99"/>
    <w:semiHidden/>
    <w:unhideWhenUsed/>
    <w:rsid w:val="002675E2"/>
    <w:pPr>
      <w:numPr>
        <w:ilvl w:val="4"/>
      </w:numPr>
      <w:ind w:left="1440" w:hanging="360"/>
    </w:pPr>
  </w:style>
  <w:style w:type="paragraph" w:styleId="MessageHeader">
    <w:name w:val="Message Header"/>
    <w:basedOn w:val="Normal"/>
    <w:link w:val="MessageHeaderChar"/>
    <w:semiHidden/>
    <w:unhideWhenUsed/>
    <w:rsid w:val="002675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imes New Roman" w:cs="Times New Roman"/>
      <w:sz w:val="24"/>
    </w:rPr>
  </w:style>
  <w:style w:type="character" w:customStyle="1" w:styleId="MessageHeaderChar">
    <w:name w:val="Message Header Char"/>
    <w:link w:val="MessageHeader"/>
    <w:semiHidden/>
    <w:rsid w:val="002675E2"/>
    <w:rPr>
      <w:rFonts w:ascii="Arial" w:eastAsia="Times New Roman" w:hAnsi="Arial" w:cs="Times New Roman"/>
      <w:sz w:val="24"/>
      <w:szCs w:val="24"/>
      <w:shd w:val="pct20" w:color="auto" w:fill="auto"/>
    </w:rPr>
  </w:style>
  <w:style w:type="paragraph" w:styleId="NormalWeb">
    <w:name w:val="Normal (Web)"/>
    <w:basedOn w:val="Normal"/>
    <w:semiHidden/>
    <w:unhideWhenUsed/>
    <w:rsid w:val="002675E2"/>
    <w:rPr>
      <w:sz w:val="24"/>
    </w:rPr>
  </w:style>
  <w:style w:type="paragraph" w:styleId="Signature">
    <w:name w:val="Signature"/>
    <w:basedOn w:val="Normal"/>
    <w:link w:val="SignatureChar"/>
    <w:uiPriority w:val="99"/>
    <w:semiHidden/>
    <w:unhideWhenUsed/>
    <w:rsid w:val="002675E2"/>
    <w:pPr>
      <w:spacing w:line="240" w:lineRule="auto"/>
      <w:jc w:val="left"/>
    </w:pPr>
  </w:style>
  <w:style w:type="character" w:customStyle="1" w:styleId="SignatureChar">
    <w:name w:val="Signature Char"/>
    <w:link w:val="Signature"/>
    <w:uiPriority w:val="99"/>
    <w:semiHidden/>
    <w:rsid w:val="002675E2"/>
    <w:rPr>
      <w:rFonts w:ascii="Arial" w:eastAsia="Times New Roman" w:hAnsi="Arial" w:cs="Times New Roman"/>
      <w:sz w:val="20"/>
      <w:szCs w:val="24"/>
    </w:rPr>
  </w:style>
  <w:style w:type="paragraph" w:styleId="TOAHeading">
    <w:name w:val="toa heading"/>
    <w:basedOn w:val="Normal"/>
    <w:next w:val="Normal"/>
    <w:semiHidden/>
    <w:unhideWhenUsed/>
    <w:rsid w:val="002675E2"/>
    <w:pPr>
      <w:spacing w:before="120"/>
    </w:pPr>
    <w:rPr>
      <w:rFonts w:eastAsia="Times New Roman" w:cs="Times New Roman"/>
      <w:b/>
      <w:bCs/>
      <w:sz w:val="24"/>
    </w:rPr>
  </w:style>
  <w:style w:type="character" w:styleId="HTMLAcronym">
    <w:name w:val="HTML Acronym"/>
    <w:semiHidden/>
    <w:unhideWhenUsed/>
    <w:rsid w:val="002675E2"/>
    <w:rPr>
      <w:rFonts w:ascii="Arial" w:hAnsi="Arial"/>
    </w:rPr>
  </w:style>
  <w:style w:type="paragraph" w:customStyle="1" w:styleId="HTMLAddress1">
    <w:name w:val="HTML Address1"/>
    <w:basedOn w:val="Normal"/>
    <w:link w:val="HTMLAddressChar"/>
    <w:uiPriority w:val="99"/>
    <w:semiHidden/>
    <w:unhideWhenUsed/>
    <w:rsid w:val="002675E2"/>
    <w:pPr>
      <w:spacing w:line="240" w:lineRule="auto"/>
    </w:pPr>
    <w:rPr>
      <w:i/>
      <w:iCs/>
    </w:rPr>
  </w:style>
  <w:style w:type="character" w:customStyle="1" w:styleId="HTMLAddressChar">
    <w:name w:val="HTML Address Char"/>
    <w:link w:val="HTMLAddress1"/>
    <w:uiPriority w:val="99"/>
    <w:semiHidden/>
    <w:rsid w:val="002675E2"/>
    <w:rPr>
      <w:rFonts w:ascii="Arial" w:eastAsia="Times New Roman" w:hAnsi="Arial" w:cs="Times New Roman"/>
      <w:i/>
      <w:iCs/>
      <w:sz w:val="20"/>
      <w:szCs w:val="24"/>
    </w:rPr>
  </w:style>
  <w:style w:type="character" w:styleId="HTMLCite">
    <w:name w:val="HTML Cite"/>
    <w:semiHidden/>
    <w:unhideWhenUsed/>
    <w:rsid w:val="002675E2"/>
    <w:rPr>
      <w:rFonts w:ascii="Arial" w:hAnsi="Arial"/>
      <w:i/>
      <w:iCs/>
    </w:rPr>
  </w:style>
  <w:style w:type="character" w:styleId="HTMLCode">
    <w:name w:val="HTML Code"/>
    <w:uiPriority w:val="99"/>
    <w:semiHidden/>
    <w:unhideWhenUsed/>
    <w:rsid w:val="002675E2"/>
    <w:rPr>
      <w:rFonts w:ascii="Arial" w:hAnsi="Arial"/>
      <w:sz w:val="20"/>
      <w:szCs w:val="20"/>
    </w:rPr>
  </w:style>
  <w:style w:type="character" w:styleId="HTMLDefinition">
    <w:name w:val="HTML Definition"/>
    <w:semiHidden/>
    <w:unhideWhenUsed/>
    <w:rsid w:val="002675E2"/>
    <w:rPr>
      <w:rFonts w:ascii="Arial" w:hAnsi="Arial"/>
      <w:i/>
      <w:iCs/>
    </w:rPr>
  </w:style>
  <w:style w:type="character" w:styleId="HTMLKeyboard">
    <w:name w:val="HTML Keyboard"/>
    <w:uiPriority w:val="99"/>
    <w:semiHidden/>
    <w:unhideWhenUsed/>
    <w:rsid w:val="002675E2"/>
    <w:rPr>
      <w:rFonts w:ascii="Arial" w:hAnsi="Arial"/>
      <w:sz w:val="20"/>
      <w:szCs w:val="20"/>
    </w:rPr>
  </w:style>
  <w:style w:type="paragraph" w:styleId="HTMLPreformatted">
    <w:name w:val="HTML Preformatted"/>
    <w:basedOn w:val="Normal"/>
    <w:link w:val="HTMLPreformattedChar"/>
    <w:uiPriority w:val="99"/>
    <w:semiHidden/>
    <w:unhideWhenUsed/>
    <w:rsid w:val="002675E2"/>
    <w:pPr>
      <w:spacing w:line="240" w:lineRule="auto"/>
    </w:pPr>
    <w:rPr>
      <w:szCs w:val="20"/>
    </w:rPr>
  </w:style>
  <w:style w:type="character" w:customStyle="1" w:styleId="HTMLPreformattedChar">
    <w:name w:val="HTML Preformatted Char"/>
    <w:link w:val="HTMLPreformatted"/>
    <w:uiPriority w:val="99"/>
    <w:semiHidden/>
    <w:rsid w:val="002675E2"/>
    <w:rPr>
      <w:rFonts w:ascii="Arial" w:eastAsia="Times New Roman" w:hAnsi="Arial" w:cs="Times New Roman"/>
      <w:sz w:val="20"/>
      <w:szCs w:val="20"/>
    </w:rPr>
  </w:style>
  <w:style w:type="paragraph" w:styleId="IntenseQuote">
    <w:name w:val="Intense Quote"/>
    <w:basedOn w:val="Normal"/>
    <w:next w:val="Normal"/>
    <w:link w:val="IntenseQuoteChar"/>
    <w:uiPriority w:val="30"/>
    <w:qFormat/>
    <w:rsid w:val="002675E2"/>
    <w:pPr>
      <w:pBdr>
        <w:bottom w:val="single" w:sz="4" w:space="4" w:color="00A0AF" w:themeColor="accent1"/>
      </w:pBdr>
      <w:spacing w:before="200" w:after="280"/>
      <w:ind w:left="936" w:right="936"/>
    </w:pPr>
    <w:rPr>
      <w:b/>
      <w:bCs/>
      <w:i/>
      <w:iCs/>
      <w:color w:val="00A0AF" w:themeColor="accent1"/>
    </w:rPr>
  </w:style>
  <w:style w:type="character" w:customStyle="1" w:styleId="IntenseQuoteChar">
    <w:name w:val="Intense Quote Char"/>
    <w:link w:val="IntenseQuote"/>
    <w:uiPriority w:val="30"/>
    <w:rsid w:val="002675E2"/>
    <w:rPr>
      <w:b/>
      <w:bCs/>
      <w:i/>
      <w:iCs/>
      <w:color w:val="00A0AF" w:themeColor="accent1"/>
    </w:rPr>
  </w:style>
  <w:style w:type="character" w:styleId="IntenseReference">
    <w:name w:val="Intense Reference"/>
    <w:uiPriority w:val="32"/>
    <w:qFormat/>
    <w:rsid w:val="002675E2"/>
    <w:rPr>
      <w:b/>
      <w:bCs/>
      <w:smallCaps/>
      <w:color w:val="4F8636" w:themeColor="accent2"/>
      <w:spacing w:val="5"/>
      <w:u w:val="single"/>
    </w:rPr>
  </w:style>
  <w:style w:type="paragraph" w:styleId="Subtitle">
    <w:name w:val="Subtitle"/>
    <w:basedOn w:val="Normal"/>
    <w:next w:val="Normal"/>
    <w:link w:val="SubtitleChar"/>
    <w:uiPriority w:val="11"/>
    <w:qFormat/>
    <w:rsid w:val="00997C65"/>
    <w:pPr>
      <w:numPr>
        <w:ilvl w:val="1"/>
      </w:numPr>
    </w:pPr>
    <w:rPr>
      <w:rFonts w:eastAsia="Times New Roman" w:cs="Times New Roman"/>
      <w:iCs/>
      <w:color w:val="808080" w:themeColor="background1" w:themeShade="80"/>
      <w:spacing w:val="15"/>
      <w:sz w:val="30"/>
      <w:szCs w:val="30"/>
    </w:rPr>
  </w:style>
  <w:style w:type="character" w:customStyle="1" w:styleId="SubtitleChar">
    <w:name w:val="Subtitle Char"/>
    <w:link w:val="Subtitle"/>
    <w:uiPriority w:val="11"/>
    <w:rsid w:val="00997C65"/>
    <w:rPr>
      <w:rFonts w:eastAsia="Times New Roman" w:cs="Times New Roman"/>
      <w:iCs/>
      <w:color w:val="808080" w:themeColor="background1" w:themeShade="80"/>
      <w:spacing w:val="15"/>
      <w:sz w:val="30"/>
      <w:szCs w:val="30"/>
    </w:rPr>
  </w:style>
  <w:style w:type="character" w:styleId="SubtleReference">
    <w:name w:val="Subtle Reference"/>
    <w:uiPriority w:val="31"/>
    <w:qFormat/>
    <w:rsid w:val="002675E2"/>
    <w:rPr>
      <w:smallCaps/>
      <w:color w:val="4F8636" w:themeColor="accent2"/>
      <w:u w:val="single"/>
    </w:rPr>
  </w:style>
  <w:style w:type="paragraph" w:styleId="BlockText">
    <w:name w:val="Block Text"/>
    <w:basedOn w:val="Normal"/>
    <w:uiPriority w:val="99"/>
    <w:semiHidden/>
    <w:unhideWhenUsed/>
    <w:rsid w:val="002675E2"/>
    <w:pPr>
      <w:pBdr>
        <w:top w:val="single" w:sz="2" w:space="10" w:color="auto"/>
        <w:left w:val="single" w:sz="2" w:space="10" w:color="auto"/>
        <w:bottom w:val="single" w:sz="2" w:space="10" w:color="auto"/>
        <w:right w:val="single" w:sz="2" w:space="10" w:color="auto"/>
      </w:pBdr>
      <w:ind w:left="1152" w:right="1152"/>
    </w:pPr>
    <w:rPr>
      <w:rFonts w:eastAsia="Times New Roman" w:cs="Times New Roman"/>
      <w:i/>
      <w:iCs/>
    </w:rPr>
  </w:style>
  <w:style w:type="paragraph" w:styleId="BodyText2">
    <w:name w:val="Body Text 2"/>
    <w:basedOn w:val="Normal"/>
    <w:link w:val="BodyText2Char"/>
    <w:rsid w:val="002675E2"/>
    <w:pPr>
      <w:spacing w:line="480" w:lineRule="auto"/>
      <w:ind w:left="567"/>
    </w:pPr>
  </w:style>
  <w:style w:type="character" w:customStyle="1" w:styleId="BodyText2Char">
    <w:name w:val="Body Text 2 Char"/>
    <w:link w:val="BodyText2"/>
    <w:rsid w:val="002675E2"/>
    <w:rPr>
      <w:rFonts w:ascii="Arial" w:eastAsia="Times New Roman" w:hAnsi="Arial" w:cs="Times New Roman"/>
      <w:sz w:val="20"/>
      <w:szCs w:val="24"/>
    </w:rPr>
  </w:style>
  <w:style w:type="paragraph" w:styleId="BodyText3">
    <w:name w:val="Body Text 3"/>
    <w:basedOn w:val="Normal"/>
    <w:link w:val="BodyText3Char"/>
    <w:uiPriority w:val="99"/>
    <w:semiHidden/>
    <w:unhideWhenUsed/>
    <w:rsid w:val="002675E2"/>
    <w:pPr>
      <w:ind w:left="1701"/>
    </w:pPr>
    <w:rPr>
      <w:sz w:val="16"/>
      <w:szCs w:val="16"/>
    </w:rPr>
  </w:style>
  <w:style w:type="character" w:customStyle="1" w:styleId="BodyText3Char">
    <w:name w:val="Body Text 3 Char"/>
    <w:link w:val="BodyText3"/>
    <w:uiPriority w:val="99"/>
    <w:semiHidden/>
    <w:rsid w:val="002675E2"/>
    <w:rPr>
      <w:rFonts w:ascii="Arial" w:eastAsia="Times New Roman" w:hAnsi="Arial" w:cs="Times New Roman"/>
      <w:sz w:val="16"/>
      <w:szCs w:val="16"/>
    </w:rPr>
  </w:style>
  <w:style w:type="paragraph" w:styleId="Closing">
    <w:name w:val="Closing"/>
    <w:basedOn w:val="Normal"/>
    <w:link w:val="ClosingChar"/>
    <w:uiPriority w:val="99"/>
    <w:semiHidden/>
    <w:unhideWhenUsed/>
    <w:rsid w:val="002675E2"/>
    <w:pPr>
      <w:spacing w:line="240" w:lineRule="auto"/>
    </w:pPr>
  </w:style>
  <w:style w:type="character" w:customStyle="1" w:styleId="ClosingChar">
    <w:name w:val="Closing Char"/>
    <w:link w:val="Closing"/>
    <w:uiPriority w:val="99"/>
    <w:semiHidden/>
    <w:rsid w:val="002675E2"/>
    <w:rPr>
      <w:rFonts w:ascii="Arial" w:eastAsia="Times New Roman" w:hAnsi="Arial" w:cs="Times New Roman"/>
      <w:sz w:val="20"/>
      <w:szCs w:val="24"/>
    </w:rPr>
  </w:style>
  <w:style w:type="character" w:customStyle="1" w:styleId="ListBulletChar">
    <w:name w:val="List Bullet Char"/>
    <w:link w:val="ListBullet"/>
    <w:rsid w:val="00CB16AC"/>
    <w:rPr>
      <w:sz w:val="22"/>
      <w:szCs w:val="22"/>
      <w:lang w:val="en-US" w:eastAsia="en-US"/>
    </w:rPr>
  </w:style>
  <w:style w:type="character" w:customStyle="1" w:styleId="ListNumberChar">
    <w:name w:val="List Number Char"/>
    <w:basedOn w:val="ListBulletChar"/>
    <w:link w:val="ListNumber"/>
    <w:rsid w:val="00CB16AC"/>
    <w:rPr>
      <w:sz w:val="22"/>
      <w:szCs w:val="22"/>
      <w:lang w:val="en-US" w:eastAsia="en-US"/>
    </w:rPr>
  </w:style>
  <w:style w:type="character" w:customStyle="1" w:styleId="ListBullet2Char">
    <w:name w:val="List Bullet 2 Char"/>
    <w:basedOn w:val="ListBulletChar"/>
    <w:link w:val="ListBullet2"/>
    <w:semiHidden/>
    <w:rsid w:val="00CB16AC"/>
    <w:rPr>
      <w:sz w:val="22"/>
      <w:szCs w:val="22"/>
      <w:lang w:val="en-US" w:eastAsia="en-US"/>
    </w:rPr>
  </w:style>
  <w:style w:type="character" w:customStyle="1" w:styleId="TableTextChar">
    <w:name w:val="Table Text Char"/>
    <w:link w:val="TableText"/>
    <w:rsid w:val="009A157E"/>
    <w:rPr>
      <w:bCs/>
      <w:sz w:val="22"/>
      <w:szCs w:val="22"/>
      <w:lang w:eastAsia="en-US"/>
    </w:rPr>
  </w:style>
  <w:style w:type="character" w:customStyle="1" w:styleId="TableTextBulletListChar">
    <w:name w:val="Table Text Bullet List Char"/>
    <w:link w:val="TableTextBulletList"/>
    <w:rsid w:val="00CB16AC"/>
    <w:rPr>
      <w:rFonts w:ascii="Arial" w:hAnsi="Arial" w:cs="Times New Roman"/>
      <w:sz w:val="20"/>
      <w:szCs w:val="24"/>
    </w:rPr>
  </w:style>
  <w:style w:type="character" w:customStyle="1" w:styleId="TableTextHeadingChar">
    <w:name w:val="Table Text Heading Char"/>
    <w:link w:val="TableTextHeading"/>
    <w:rsid w:val="009A157E"/>
    <w:rPr>
      <w:b/>
      <w:bCs/>
      <w:sz w:val="22"/>
      <w:szCs w:val="22"/>
      <w:lang w:eastAsia="en-US"/>
    </w:rPr>
  </w:style>
  <w:style w:type="paragraph" w:styleId="TOC1">
    <w:name w:val="toc 1"/>
    <w:next w:val="Normal"/>
    <w:link w:val="TOC1Char"/>
    <w:uiPriority w:val="39"/>
    <w:unhideWhenUsed/>
    <w:rsid w:val="00D929BE"/>
    <w:pPr>
      <w:tabs>
        <w:tab w:val="left" w:pos="440"/>
        <w:tab w:val="right" w:leader="dot" w:pos="9016"/>
      </w:tabs>
      <w:spacing w:before="60" w:after="60"/>
    </w:pPr>
    <w:rPr>
      <w:szCs w:val="24"/>
      <w:lang w:eastAsia="en-US"/>
    </w:rPr>
  </w:style>
  <w:style w:type="paragraph" w:styleId="TOC2">
    <w:name w:val="toc 2"/>
    <w:basedOn w:val="Normal"/>
    <w:next w:val="Normal"/>
    <w:autoRedefine/>
    <w:uiPriority w:val="39"/>
    <w:unhideWhenUsed/>
    <w:rsid w:val="00A10A9D"/>
    <w:pPr>
      <w:tabs>
        <w:tab w:val="left" w:pos="880"/>
        <w:tab w:val="right" w:leader="dot" w:pos="9016"/>
      </w:tabs>
      <w:spacing w:before="60" w:after="60"/>
      <w:ind w:left="1304" w:hanging="879"/>
    </w:pPr>
    <w:rPr>
      <w:rFonts w:ascii="Calibri" w:hAnsi="Calibri"/>
    </w:rPr>
  </w:style>
  <w:style w:type="character" w:customStyle="1" w:styleId="TOC1Char">
    <w:name w:val="TOC 1 Char"/>
    <w:link w:val="TOC1"/>
    <w:uiPriority w:val="39"/>
    <w:rsid w:val="00D929BE"/>
    <w:rPr>
      <w:szCs w:val="24"/>
      <w:lang w:val="en-NZ" w:eastAsia="en-US" w:bidi="ar-SA"/>
    </w:rPr>
  </w:style>
  <w:style w:type="paragraph" w:styleId="TOC3">
    <w:name w:val="toc 3"/>
    <w:basedOn w:val="Normal"/>
    <w:next w:val="Normal"/>
    <w:autoRedefine/>
    <w:uiPriority w:val="39"/>
    <w:semiHidden/>
    <w:unhideWhenUsed/>
    <w:rsid w:val="00A10A9D"/>
    <w:pPr>
      <w:ind w:left="400"/>
    </w:pPr>
    <w:rPr>
      <w:rFonts w:ascii="Calibri" w:hAnsi="Calibri"/>
    </w:rPr>
  </w:style>
  <w:style w:type="paragraph" w:styleId="TOC9">
    <w:name w:val="toc 9"/>
    <w:basedOn w:val="Normal"/>
    <w:next w:val="Normal"/>
    <w:autoRedefine/>
    <w:semiHidden/>
    <w:unhideWhenUsed/>
    <w:rsid w:val="00A10A9D"/>
    <w:pPr>
      <w:ind w:left="1600"/>
    </w:pPr>
  </w:style>
  <w:style w:type="paragraph" w:styleId="FootnoteText">
    <w:name w:val="footnote text"/>
    <w:basedOn w:val="Normal"/>
    <w:link w:val="FootnoteTextChar"/>
    <w:semiHidden/>
    <w:rsid w:val="00F90A36"/>
    <w:pPr>
      <w:spacing w:after="200"/>
      <w:jc w:val="left"/>
    </w:pPr>
    <w:rPr>
      <w:szCs w:val="20"/>
      <w:lang w:val="en-US" w:bidi="en-US"/>
    </w:rPr>
  </w:style>
  <w:style w:type="paragraph" w:styleId="TableofFigures">
    <w:name w:val="table of figures"/>
    <w:basedOn w:val="Normal"/>
    <w:next w:val="Normal"/>
    <w:uiPriority w:val="99"/>
    <w:unhideWhenUsed/>
    <w:rsid w:val="00C94F0B"/>
    <w:rPr>
      <w:rFonts w:ascii="Calibri" w:hAnsi="Calibri"/>
    </w:rPr>
  </w:style>
  <w:style w:type="character" w:customStyle="1" w:styleId="FootnoteTextChar">
    <w:name w:val="Footnote Text Char"/>
    <w:link w:val="FootnoteText"/>
    <w:semiHidden/>
    <w:rsid w:val="00F90A36"/>
    <w:rPr>
      <w:lang w:val="en-US" w:eastAsia="en-US" w:bidi="en-US"/>
    </w:rPr>
  </w:style>
  <w:style w:type="character" w:customStyle="1" w:styleId="CaptionChar">
    <w:name w:val="Caption Char"/>
    <w:link w:val="Caption"/>
    <w:uiPriority w:val="35"/>
    <w:rsid w:val="00F90A36"/>
    <w:rPr>
      <w:b/>
      <w:bCs/>
      <w:color w:val="00A0AF" w:themeColor="accent1"/>
      <w:sz w:val="18"/>
      <w:szCs w:val="18"/>
    </w:rPr>
  </w:style>
  <w:style w:type="paragraph" w:styleId="ListParagraph">
    <w:name w:val="List Paragraph"/>
    <w:basedOn w:val="Normal"/>
    <w:uiPriority w:val="34"/>
    <w:qFormat/>
    <w:rsid w:val="00C13176"/>
    <w:pPr>
      <w:ind w:left="720"/>
      <w:contextualSpacing/>
    </w:pPr>
  </w:style>
  <w:style w:type="character" w:styleId="SubtleEmphasis">
    <w:name w:val="Subtle Emphasis"/>
    <w:uiPriority w:val="19"/>
    <w:qFormat/>
    <w:rsid w:val="00C13176"/>
    <w:rPr>
      <w:i/>
      <w:iCs/>
      <w:color w:val="808080"/>
    </w:rPr>
  </w:style>
  <w:style w:type="paragraph" w:styleId="EndnoteText">
    <w:name w:val="endnote text"/>
    <w:basedOn w:val="Normal"/>
    <w:link w:val="EndnoteTextChar"/>
    <w:uiPriority w:val="99"/>
    <w:semiHidden/>
    <w:unhideWhenUsed/>
    <w:rsid w:val="00A6429F"/>
    <w:pPr>
      <w:spacing w:after="0" w:line="240" w:lineRule="auto"/>
    </w:pPr>
    <w:rPr>
      <w:szCs w:val="20"/>
    </w:rPr>
  </w:style>
  <w:style w:type="character" w:customStyle="1" w:styleId="EndnoteTextChar">
    <w:name w:val="Endnote Text Char"/>
    <w:basedOn w:val="DefaultParagraphFont"/>
    <w:link w:val="EndnoteText"/>
    <w:uiPriority w:val="99"/>
    <w:semiHidden/>
    <w:rsid w:val="00A6429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webSettings" Target="webSetting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image" Target="/media/image3.jpg" Id="Rded9bc31cf7f4d9d" /><Relationship Type="http://schemas.openxmlformats.org/officeDocument/2006/relationships/image" Target="/media/image4.jpg" Id="R7bff50eba4c54f90" /><Relationship Type="http://schemas.openxmlformats.org/officeDocument/2006/relationships/chart" Target="/word/charts/chart.xml" Id="rId100" /><Relationship Type="http://schemas.openxmlformats.org/officeDocument/2006/relationships/chart" Target="/word/charts/chart2.xml" Id="rId101" /><Relationship Type="http://schemas.openxmlformats.org/officeDocument/2006/relationships/chart" Target="/word/charts/chart3.xml" Id="rId102" /><Relationship Type="http://schemas.openxmlformats.org/officeDocument/2006/relationships/chart" Target="/word/charts/chart4.xml" Id="rId103" /><Relationship Type="http://schemas.openxmlformats.org/officeDocument/2006/relationships/chart" Target="/word/charts/chart5.xml" Id="rId104" /><Relationship Type="http://schemas.openxmlformats.org/officeDocument/2006/relationships/chart" Target="/word/charts/chart6.xml" Id="rId105"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xml.rels>&#65279;<?xml version="1.0" encoding="utf-8"?><Relationships xmlns="http://schemas.openxmlformats.org/package/2006/relationships"><Relationship Type="http://schemas.openxmlformats.org/officeDocument/2006/relationships/package" Target="/word/charts/embeddings/package.bin" Id="rId1" /></Relationships>
</file>

<file path=word/charts/_rels/chart2.xml.rels>&#65279;<?xml version="1.0" encoding="utf-8"?><Relationships xmlns="http://schemas.openxmlformats.org/package/2006/relationships"><Relationship Type="http://schemas.openxmlformats.org/officeDocument/2006/relationships/package" Target="/word/charts/embeddings/package2.bin" Id="rId1" /></Relationships>
</file>

<file path=word/charts/_rels/chart3.xml.rels>&#65279;<?xml version="1.0" encoding="utf-8"?><Relationships xmlns="http://schemas.openxmlformats.org/package/2006/relationships"><Relationship Type="http://schemas.openxmlformats.org/officeDocument/2006/relationships/package" Target="/word/charts/embeddings/package3.bin" Id="rId1" /></Relationships>
</file>

<file path=word/charts/_rels/chart4.xml.rels>&#65279;<?xml version="1.0" encoding="utf-8"?><Relationships xmlns="http://schemas.openxmlformats.org/package/2006/relationships"><Relationship Type="http://schemas.openxmlformats.org/officeDocument/2006/relationships/package" Target="/word/charts/embeddings/package4.bin" Id="rId1" /></Relationships>
</file>

<file path=word/charts/_rels/chart5.xml.rels>&#65279;<?xml version="1.0" encoding="utf-8"?><Relationships xmlns="http://schemas.openxmlformats.org/package/2006/relationships"><Relationship Type="http://schemas.openxmlformats.org/officeDocument/2006/relationships/package" Target="/word/charts/embeddings/package5.bin" Id="rId1" /></Relationships>
</file>

<file path=word/charts/_rels/chart6.xml.rels>&#65279;<?xml version="1.0" encoding="utf-8"?><Relationships xmlns="http://schemas.openxmlformats.org/package/2006/relationships"><Relationship Type="http://schemas.openxmlformats.org/officeDocument/2006/relationships/package" Target="/word/charts/embeddings/package6.bin" Id="rId1" /></Relationships>
</file>

<file path=word/charts/chart.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GHG operational emissions by scope</a:t>
            </a:r>
          </a:p>
        </c:rich>
      </c:tx>
      <c:overlay val="0"/>
    </c:title>
    <c:plotArea>
      <c:layout/>
      <c:barChart>
        <c:barDir val="col"/>
        <c:grouping val="clustered"/>
        <c:varyColors val="0"/>
        <c:ser>
          <c:idx val="0"/>
          <c:order val="0"/>
          <c:tx>
            <c:strRef>
              <c:strCache>
                <c:ptCount val="1"/>
                <c:pt idx="0">
                  <c:v>2016</c:v>
                </c:pt>
              </c:strCache>
            </c:strRef>
          </c:tx>
          <c:cat>
            <c:strRef>
              <c:strCache>
                <c:pt idx="0">
                  <c:v>Scope 1</c:v>
                </c:pt>
                <c:pt idx="1">
                  <c:v>Scope 2</c:v>
                </c:pt>
                <c:pt idx="2">
                  <c:v>Scope 3</c:v>
                </c:pt>
              </c:strCache>
            </c:strRef>
          </c:cat>
          <c:val>
            <c:numRef>
              <c:numCache>
                <c:formatCode>General</c:formatCode>
                <c:ptCount val="3"/>
                <c:pt idx="0">
                  <c:v>163.57</c:v>
                </c:pt>
                <c:pt idx="1">
                  <c:v>624.00</c:v>
                </c:pt>
                <c:pt idx="2">
                  <c:v>30.38</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charts/chart2.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GHG operational emissions by business unit</a:t>
            </a:r>
          </a:p>
        </c:rich>
      </c:tx>
      <c:overlay val="0"/>
    </c:title>
    <c:plotArea>
      <c:layout/>
      <c:barChart>
        <c:barDir val="col"/>
        <c:grouping val="clustered"/>
        <c:varyColors val="0"/>
        <c:ser>
          <c:idx val="0"/>
          <c:order val="0"/>
          <c:tx>
            <c:strRef>
              <c:strCache>
                <c:ptCount val="1"/>
                <c:pt idx="0">
                  <c:v>2016</c:v>
                </c:pt>
              </c:strCache>
            </c:strRef>
          </c:tx>
          <c:cat>
            <c:strRef>
              <c:strCache>
                <c:pt idx="0">
                  <c:v>General Council (All Management Groups)/Business Travel</c:v>
                </c:pt>
                <c:pt idx="1">
                  <c:v>General Council (All Management Groups)/Operations</c:v>
                </c:pt>
                <c:pt idx="2">
                  <c:v>Leisure &amp; Open Space (Community Facilities &amp; Activities)/Parks/Open Spaces</c:v>
                </c:pt>
                <c:pt idx="3">
                  <c:v>Leisure &amp; Open Space (Community Facilities &amp; Activities)/Recreation Centre/Swimming Pool</c:v>
                </c:pt>
                <c:pt idx="4">
                  <c:v>Leisure &amp; Open Space (Community Facilities &amp; Activities)/Reservoirs</c:v>
                </c:pt>
                <c:pt idx="5">
                  <c:v>Leisure &amp; Open Space (Community Facilities &amp; Activities)/Sanitation facilities</c:v>
                </c:pt>
                <c:pt idx="6">
                  <c:v>Properties (Community Facilities &amp; Activities)</c:v>
                </c:pt>
                <c:pt idx="7">
                  <c:v>Roading &amp; Water Network  (Community Facilities &amp; Activities; Asset &amp;Operations; Strategic Planning)/Parking/Site lighting</c:v>
                </c:pt>
                <c:pt idx="8">
                  <c:v>Roading &amp; Water Network  (Community Facilities &amp; Activities; Asset &amp;Operations; Strategic Planning)/Pump Stations</c:v>
                </c:pt>
                <c:pt idx="9">
                  <c:v>Roading &amp; Water Network  (Community Facilities &amp; Activities; Asset &amp;Operations; Strategic Planning)/Streetlighting Rural</c:v>
                </c:pt>
                <c:pt idx="10">
                  <c:v>Roading &amp; Water Network  (Community Facilities &amp; Activities; Asset &amp;Operations; Strategic Planning)/Streetlighting Urban</c:v>
                </c:pt>
                <c:pt idx="11">
                  <c:v>Waste Water (Assets &amp; Operations)</c:v>
                </c:pt>
                <c:pt idx="12">
                  <c:v>Water Services (Assets &amp; Operations)</c:v>
                </c:pt>
              </c:strCache>
            </c:strRef>
          </c:cat>
          <c:val>
            <c:numRef>
              <c:numCache>
                <c:formatCode>General</c:formatCode>
                <c:ptCount val="13"/>
                <c:pt idx="0">
                  <c:v>51.56</c:v>
                </c:pt>
                <c:pt idx="1">
                  <c:v>43.26</c:v>
                </c:pt>
                <c:pt idx="2">
                  <c:v>21.07</c:v>
                </c:pt>
                <c:pt idx="3">
                  <c:v>251.60</c:v>
                </c:pt>
                <c:pt idx="4">
                  <c:v>1.64</c:v>
                </c:pt>
                <c:pt idx="5">
                  <c:v>4.22</c:v>
                </c:pt>
                <c:pt idx="6">
                  <c:v>76.07</c:v>
                </c:pt>
                <c:pt idx="7">
                  <c:v>1.27</c:v>
                </c:pt>
                <c:pt idx="8">
                  <c:v>40.38</c:v>
                </c:pt>
                <c:pt idx="9">
                  <c:v>5.50</c:v>
                </c:pt>
                <c:pt idx="10">
                  <c:v>148.84</c:v>
                </c:pt>
                <c:pt idx="11">
                  <c:v>144.52</c:v>
                </c:pt>
                <c:pt idx="12">
                  <c:v>28.02</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charts/chart3.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GHG operational emissions by source - top 10</a:t>
            </a:r>
          </a:p>
        </c:rich>
      </c:tx>
      <c:overlay val="0"/>
    </c:title>
    <c:plotArea>
      <c:layout/>
      <c:barChart>
        <c:barDir val="bar"/>
        <c:grouping val="clustered"/>
        <c:varyColors val="0"/>
        <c:ser>
          <c:idx val="0"/>
          <c:order val="0"/>
          <c:tx>
            <c:strRef>
              <c:strCache>
                <c:ptCount val="1"/>
                <c:pt idx="0">
                  <c:v>2016</c:v>
                </c:pt>
              </c:strCache>
            </c:strRef>
          </c:tx>
          <c:cat>
            <c:strRef>
              <c:strCache>
                <c:pt idx="9">
                  <c:v>Electricity</c:v>
                </c:pt>
                <c:pt idx="8">
                  <c:v>WWTP sewage (CO2e)</c:v>
                </c:pt>
                <c:pt idx="7">
                  <c:v>Company Car XL (diesel over 3000cc)</c:v>
                </c:pt>
                <c:pt idx="6">
                  <c:v>Car XL (diesel&gt;3000cc)</c:v>
                </c:pt>
                <c:pt idx="5">
                  <c:v>LPG stationary commercial</c:v>
                </c:pt>
                <c:pt idx="4">
                  <c:v>Waste landfilled LFGR Mixed waste</c:v>
                </c:pt>
                <c:pt idx="3">
                  <c:v>Company Car Medium (petrol 1600-2000cc)</c:v>
                </c:pt>
                <c:pt idx="2">
                  <c:v>Private Car average (fuel type unknown)</c:v>
                </c:pt>
                <c:pt idx="1">
                  <c:v>Company Car Large (diesel 2000-2999cc)</c:v>
                </c:pt>
                <c:pt idx="0">
                  <c:v>Company Car Medium (diesel 1600-2000cc)</c:v>
                </c:pt>
              </c:strCache>
            </c:strRef>
          </c:cat>
          <c:val>
            <c:numRef>
              <c:numCache>
                <c:formatCode>General</c:formatCode>
                <c:ptCount val="10"/>
                <c:pt idx="9">
                  <c:v>624.00</c:v>
                </c:pt>
                <c:pt idx="8">
                  <c:v>66.48</c:v>
                </c:pt>
                <c:pt idx="7">
                  <c:v>37.40</c:v>
                </c:pt>
                <c:pt idx="6">
                  <c:v>18.41</c:v>
                </c:pt>
                <c:pt idx="5">
                  <c:v>17.30</c:v>
                </c:pt>
                <c:pt idx="4">
                  <c:v>15.36</c:v>
                </c:pt>
                <c:pt idx="3">
                  <c:v>12.17</c:v>
                </c:pt>
                <c:pt idx="2">
                  <c:v>12.09</c:v>
                </c:pt>
                <c:pt idx="1">
                  <c:v>6.52</c:v>
                </c:pt>
                <c:pt idx="0">
                  <c:v>2.98</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charts/chart4.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Comparison of GHG emissions by scope</a:t>
            </a:r>
          </a:p>
        </c:rich>
      </c:tx>
      <c:overlay val="0"/>
    </c:title>
    <c:plotArea>
      <c:layout/>
      <c:barChart>
        <c:barDir val="col"/>
        <c:grouping val="clustered"/>
        <c:varyColors val="0"/>
        <c:ser>
          <c:idx val="0"/>
          <c:order val="0"/>
          <c:tx>
            <c:strRef>
              <c:strCache>
                <c:ptCount val="1"/>
                <c:pt idx="0">
                  <c:v>2016</c:v>
                </c:pt>
              </c:strCache>
            </c:strRef>
          </c:tx>
          <c:cat>
            <c:strRef>
              <c:strCache>
                <c:pt idx="0">
                  <c:v>Scope 1</c:v>
                </c:pt>
                <c:pt idx="1">
                  <c:v>Scope 2</c:v>
                </c:pt>
                <c:pt idx="2">
                  <c:v>Scope 3</c:v>
                </c:pt>
              </c:strCache>
            </c:strRef>
          </c:cat>
          <c:val>
            <c:numRef>
              <c:numCache>
                <c:formatCode>General</c:formatCode>
                <c:ptCount val="3"/>
                <c:pt idx="0">
                  <c:v>163.57</c:v>
                </c:pt>
                <c:pt idx="1">
                  <c:v>624.00</c:v>
                </c:pt>
                <c:pt idx="2">
                  <c:v>30.38</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charts/chart5.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Comparison of GHG operational emissions by source - top 10</a:t>
            </a:r>
          </a:p>
        </c:rich>
      </c:tx>
      <c:overlay val="0"/>
    </c:title>
    <c:plotArea>
      <c:layout/>
      <c:barChart>
        <c:barDir val="col"/>
        <c:grouping val="clustered"/>
        <c:varyColors val="0"/>
        <c:ser>
          <c:idx val="0"/>
          <c:order val="0"/>
          <c:tx>
            <c:strRef>
              <c:strCache>
                <c:ptCount val="1"/>
                <c:pt idx="0">
                  <c:v>2016</c:v>
                </c:pt>
              </c:strCache>
            </c:strRef>
          </c:tx>
          <c:cat>
            <c:strRef>
              <c:strCache>
                <c:pt idx="0">
                  <c:v>Electricity</c:v>
                </c:pt>
                <c:pt idx="1">
                  <c:v>WWTP sewage (CO2e)</c:v>
                </c:pt>
                <c:pt idx="2">
                  <c:v>Company Car XL (diesel over 3000cc)</c:v>
                </c:pt>
                <c:pt idx="3">
                  <c:v>Car XL (diesel&gt;3000cc)</c:v>
                </c:pt>
                <c:pt idx="4">
                  <c:v>LPG stationary commercial</c:v>
                </c:pt>
                <c:pt idx="5">
                  <c:v>Waste landfilled LFGR Mixed waste</c:v>
                </c:pt>
                <c:pt idx="6">
                  <c:v>Company Car Medium (petrol 1600-2000cc)</c:v>
                </c:pt>
                <c:pt idx="7">
                  <c:v>Private Car average (fuel type unknown)</c:v>
                </c:pt>
                <c:pt idx="8">
                  <c:v>Company Car Large (diesel 2000-2999cc)</c:v>
                </c:pt>
                <c:pt idx="9">
                  <c:v>Company Car Medium (diesel 1600-2000cc)</c:v>
                </c:pt>
              </c:strCache>
            </c:strRef>
          </c:cat>
          <c:val>
            <c:numRef>
              <c:numCache>
                <c:formatCode>General</c:formatCode>
                <c:ptCount val="10"/>
                <c:pt idx="0">
                  <c:v>624.00</c:v>
                </c:pt>
                <c:pt idx="1">
                  <c:v>66.48</c:v>
                </c:pt>
                <c:pt idx="2">
                  <c:v>37.40</c:v>
                </c:pt>
                <c:pt idx="3">
                  <c:v>18.41</c:v>
                </c:pt>
                <c:pt idx="4">
                  <c:v>17.30</c:v>
                </c:pt>
                <c:pt idx="5">
                  <c:v>15.36</c:v>
                </c:pt>
                <c:pt idx="6">
                  <c:v>12.17</c:v>
                </c:pt>
                <c:pt idx="7">
                  <c:v>12.09</c:v>
                </c:pt>
                <c:pt idx="8">
                  <c:v>6.52</c:v>
                </c:pt>
                <c:pt idx="9">
                  <c:v>2.98</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charts/chart6.xml><?xml version="1.0" encoding="utf-8"?>
<c:chartSpace xmlns:c="http://schemas.openxmlformats.org/drawingml/2006/chart">
  <c:lang val="en-US"/>
  <c:chart>
    <c:title>
      <c:tx>
        <c:rich>
          <a:bodyPr xmlns:a="http://schemas.openxmlformats.org/drawingml/2006/main"/>
          <a:lstStyle xmlns:a="http://schemas.openxmlformats.org/drawingml/2006/main"/>
          <a:p xmlns:a="http://schemas.openxmlformats.org/drawingml/2006/main">
            <a:pPr>
              <a:defRPr/>
            </a:pPr>
            <a:r>
              <a:t>Comparison of GHG operational emissions by business unit</a:t>
            </a:r>
          </a:p>
        </c:rich>
      </c:tx>
      <c:overlay val="0"/>
    </c:title>
    <c:plotArea>
      <c:layout/>
      <c:barChart>
        <c:barDir val="col"/>
        <c:grouping val="clustered"/>
        <c:varyColors val="0"/>
        <c:ser>
          <c:idx val="0"/>
          <c:order val="0"/>
          <c:tx>
            <c:strRef>
              <c:strCache>
                <c:ptCount val="1"/>
                <c:pt idx="0">
                  <c:v>2016</c:v>
                </c:pt>
              </c:strCache>
            </c:strRef>
          </c:tx>
          <c:cat>
            <c:strRef>
              <c:strCache>
                <c:pt idx="0">
                  <c:v>General Council (All Management Groups)/Business Travel</c:v>
                </c:pt>
                <c:pt idx="1">
                  <c:v>General Council (All Management Groups)/Operations</c:v>
                </c:pt>
                <c:pt idx="2">
                  <c:v>Leisure &amp; Open Space (Community Facilities &amp; Activities)/Parks/Open Spaces</c:v>
                </c:pt>
                <c:pt idx="3">
                  <c:v>Leisure &amp; Open Space (Community Facilities &amp; Activities)/Recreation Centre/Swimming Pool</c:v>
                </c:pt>
                <c:pt idx="4">
                  <c:v>Leisure &amp; Open Space (Community Facilities &amp; Activities)/Reservoirs</c:v>
                </c:pt>
                <c:pt idx="5">
                  <c:v>Leisure &amp; Open Space (Community Facilities &amp; Activities)/Sanitation facilities</c:v>
                </c:pt>
                <c:pt idx="6">
                  <c:v>Properties (Community Facilities &amp; Activities)</c:v>
                </c:pt>
                <c:pt idx="7">
                  <c:v>Roading &amp; Water Network  (Community Facilities &amp; Activities; Asset &amp;Operations; Strategic Planning)/Parking/Site lighting</c:v>
                </c:pt>
                <c:pt idx="8">
                  <c:v>Roading &amp; Water Network  (Community Facilities &amp; Activities; Asset &amp;Operations; Strategic Planning)/Pump Stations</c:v>
                </c:pt>
                <c:pt idx="9">
                  <c:v>Roading &amp; Water Network  (Community Facilities &amp; Activities; Asset &amp;Operations; Strategic Planning)/Streetlighting Rural</c:v>
                </c:pt>
                <c:pt idx="10">
                  <c:v>Roading &amp; Water Network  (Community Facilities &amp; Activities; Asset &amp;Operations; Strategic Planning)/Streetlighting Urban</c:v>
                </c:pt>
                <c:pt idx="11">
                  <c:v>Waste Water (Assets &amp; Operations)</c:v>
                </c:pt>
                <c:pt idx="12">
                  <c:v>Water Services (Assets &amp; Operations)</c:v>
                </c:pt>
              </c:strCache>
            </c:strRef>
          </c:cat>
          <c:val>
            <c:numRef>
              <c:numCache>
                <c:formatCode>General</c:formatCode>
                <c:ptCount val="13"/>
                <c:pt idx="0">
                  <c:v>51.56</c:v>
                </c:pt>
                <c:pt idx="1">
                  <c:v>43.26</c:v>
                </c:pt>
                <c:pt idx="2">
                  <c:v>21.07</c:v>
                </c:pt>
                <c:pt idx="3">
                  <c:v>251.60</c:v>
                </c:pt>
                <c:pt idx="4">
                  <c:v>1.64</c:v>
                </c:pt>
                <c:pt idx="5">
                  <c:v>4.22</c:v>
                </c:pt>
                <c:pt idx="6">
                  <c:v>76.07</c:v>
                </c:pt>
                <c:pt idx="7">
                  <c:v>1.27</c:v>
                </c:pt>
                <c:pt idx="8">
                  <c:v>40.38</c:v>
                </c:pt>
                <c:pt idx="9">
                  <c:v>5.50</c:v>
                </c:pt>
                <c:pt idx="10">
                  <c:v>148.84</c:v>
                </c:pt>
                <c:pt idx="11">
                  <c:v>144.52</c:v>
                </c:pt>
                <c:pt idx="12">
                  <c:v>28.02</c:v>
                </c:pt>
              </c:numCache>
            </c:numRef>
          </c:val>
        </c:ser>
        <c:axId val="48650112"/>
        <c:axId val="48672768"/>
      </c:barChart>
      <c:catAx>
        <c:axId val="48650112"/>
        <c:scaling>
          <c:orientation val="minMax"/>
        </c:scaling>
        <c:delete val="0"/>
        <c:axPos val="b"/>
        <c:majorTickMark val="out"/>
        <c:minorTickMark val="none"/>
        <c:tickLblPos val="nextTo"/>
        <c:crossAx val="48672768"/>
        <c:crosses val="autoZero"/>
        <c:auto val="1"/>
        <c:lblAlgn val="ctr"/>
        <c:lblOffset val="100"/>
        <c:noMultiLvlLbl val="0"/>
        <c:txPr>
          <a:bodyPr xmlns:a="http://schemas.openxmlformats.org/drawingml/2006/main"/>
          <a:p xmlns:a="http://schemas.openxmlformats.org/drawingml/2006/main">
            <a:pPr>
              <a:defRPr sz="800"/>
            </a:pPr>
          </a:p>
        </c:txPr>
      </c:catAx>
      <c:valAx>
        <c:axId val="48672768"/>
        <c:scaling>
          <c:orientation val="minMax"/>
          <c:min val="0"/>
        </c:scaling>
        <c:delete val="0"/>
        <c:axPos val="l"/>
        <c:majorGridlines/>
        <c:numFmt formatCode="General" sourceLinked="1"/>
        <c:majorTickMark val="out"/>
        <c:minorTickMark val="none"/>
        <c:tickLblPos val="nextTo"/>
        <c:crossAx val="48650112"/>
        <c:crosses val="autoZero"/>
        <c:crossBetween val="between"/>
        <c:txPr>
          <a:bodyPr xmlns:a="http://schemas.openxmlformats.org/drawingml/2006/main"/>
          <a:p xmlns:a="http://schemas.openxmlformats.org/drawingml/2006/main">
            <a:pPr>
              <a:defRPr sz="800"/>
            </a:pPr>
          </a:p>
        </c:txPr>
      </c:valAx>
    </c:plotArea>
    <c:plotVisOnly val="1"/>
  </c:chart>
</c:chartSpace>
</file>

<file path=word/theme/theme1.xml><?xml version="1.0" encoding="utf-8"?>
<a:theme xmlns:a="http://schemas.openxmlformats.org/drawingml/2006/main" name="Office Theme">
  <a:themeElements>
    <a:clrScheme name="carbon">
      <a:dk1>
        <a:sysClr val="windowText" lastClr="000000"/>
      </a:dk1>
      <a:lt1>
        <a:sysClr val="window" lastClr="FFFFFF"/>
      </a:lt1>
      <a:dk2>
        <a:srgbClr val="6D6E70"/>
      </a:dk2>
      <a:lt2>
        <a:srgbClr val="ECECEC"/>
      </a:lt2>
      <a:accent1>
        <a:srgbClr val="00A0AF"/>
      </a:accent1>
      <a:accent2>
        <a:srgbClr val="4F8636"/>
      </a:accent2>
      <a:accent3>
        <a:srgbClr val="004990"/>
      </a:accent3>
      <a:accent4>
        <a:srgbClr val="13B5EA"/>
      </a:accent4>
      <a:accent5>
        <a:srgbClr val="EC008C"/>
      </a:accent5>
      <a:accent6>
        <a:srgbClr val="C1D82F"/>
      </a:accent6>
      <a:hlink>
        <a:srgbClr val="0000FF"/>
      </a:hlink>
      <a:folHlink>
        <a:srgbClr val="800080"/>
      </a:folHlink>
    </a:clrScheme>
    <a:fontScheme name="EMS rebrand">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1092581BBAC48A458DF4BA5F77F56E08" ma:contentTypeVersion="12" ma:contentTypeDescription="Create a new document." ma:contentTypeScope="" ma:versionID="550763712127a7e620c8a687c41f5a5e">
  <xsd:schema xmlns:xsd="http://www.w3.org/2001/XMLSchema" xmlns:xs="http://www.w3.org/2001/XMLSchema" xmlns:p="http://schemas.microsoft.com/office/2006/metadata/properties" xmlns:ns2="a09f2498-df17-455f-91e1-64d5fffaead3" xmlns:ns3="67c36b51-465a-4fbb-b1f5-df4dab033244" targetNamespace="http://schemas.microsoft.com/office/2006/metadata/properties" ma:root="true" ma:fieldsID="9f7858d0db6f58b0dc2e394fa93b56a6" ns2:_="" ns3:_="">
    <xsd:import namespace="a09f2498-df17-455f-91e1-64d5fffaead3"/>
    <xsd:import namespace="67c36b51-465a-4fbb-b1f5-df4dab033244"/>
    <xsd:element name="properties">
      <xsd:complexType>
        <xsd:sequence>
          <xsd:element name="documentManagement">
            <xsd:complexType>
              <xsd:all>
                <xsd:element ref="ns2:Area" minOccurs="0"/>
                <xsd:element ref="ns2:Client" minOccurs="0"/>
                <xsd:element ref="ns2:Document_x0020_Type" minOccurs="0"/>
                <xsd:element ref="ns2:Financial_x0020_Year" minOccurs="0"/>
                <xsd:element ref="ns2:Review_x0020_Date" minOccurs="0"/>
                <xsd:element ref="ns2:Tags" minOccurs="0"/>
                <xsd:element ref="ns3:Activity" minOccurs="0"/>
                <xsd:element ref="ns3:Function" minOccurs="0"/>
                <xsd:element ref="ns3:Record_x0020_Type" minOccurs="0"/>
                <xsd:element ref="ns3:Refer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f2498-df17-455f-91e1-64d5fffaead3" elementFormDefault="qualified">
    <xsd:import namespace="http://schemas.microsoft.com/office/2006/documentManagement/types"/>
    <xsd:import namespace="http://schemas.microsoft.com/office/infopath/2007/PartnerControls"/>
    <xsd:element name="Area" ma:index="8" nillable="true" ma:displayName="Area" ma:list="{d0fb5fb1-c897-48a5-ae72-2f9998a7506b}" ma:internalName="Area" ma:showField="Title" ma:web="a09f2498-df17-455f-91e1-64d5fffaead3">
      <xsd:complexType>
        <xsd:complexContent>
          <xsd:extension base="dms:MultiChoiceLookup">
            <xsd:sequence>
              <xsd:element name="Value" type="dms:Lookup" maxOccurs="unbounded" minOccurs="0" nillable="true"/>
            </xsd:sequence>
          </xsd:extension>
        </xsd:complexContent>
      </xsd:complexType>
    </xsd:element>
    <xsd:element name="Client" ma:index="9" nillable="true" ma:displayName="Folder" ma:list="{7e48c925-1988-4e17-b3a2-2a7344ada8fc}" ma:internalName="Client" ma:showField="Title" ma:web="a09f2498-df17-455f-91e1-64d5fffaead3">
      <xsd:simpleType>
        <xsd:restriction base="dms:Lookup"/>
      </xsd:simpleType>
    </xsd:element>
    <xsd:element name="Document_x0020_Type" ma:index="10" nillable="true" ma:displayName="Document Type" ma:default="Document" ma:format="Dropdown" ma:internalName="Document_x0020_Type">
      <xsd:simpleType>
        <xsd:restriction base="dms:Choice">
          <xsd:enumeration value="Accreditation"/>
          <xsd:enumeration value="Agenda"/>
          <xsd:enumeration value="Case Studies"/>
          <xsd:enumeration value="Certifier Document"/>
          <xsd:enumeration value="Client Document"/>
          <xsd:enumeration value="Contract"/>
          <xsd:enumeration value="Correspondence"/>
          <xsd:enumeration value="Data Table"/>
          <xsd:enumeration value="Document"/>
          <xsd:enumeration value="FATQ"/>
          <xsd:enumeration value="History"/>
          <xsd:enumeration value="Instructions"/>
          <xsd:enumeration value="Invoice"/>
          <xsd:enumeration value="Labels"/>
          <xsd:enumeration value="Manual"/>
          <xsd:enumeration value="Minutes"/>
          <xsd:enumeration value="News"/>
          <xsd:enumeration value="Policy"/>
          <xsd:enumeration value="Presentation"/>
          <xsd:enumeration value="Procedure"/>
          <xsd:enumeration value="Proposal"/>
          <xsd:enumeration value="Register"/>
          <xsd:enumeration value="Report"/>
          <xsd:enumeration value="Scheme Document"/>
          <xsd:enumeration value="Template"/>
          <xsd:enumeration value="Verifier Document"/>
        </xsd:restriction>
      </xsd:simpleType>
    </xsd:element>
    <xsd:element name="Financial_x0020_Year" ma:index="11" nillable="true" ma:displayName="Financial Year" ma:default="1314" ma:format="Dropdown" ma:internalName="Financial_x0020_Year">
      <xsd:simpleType>
        <xsd:restriction base="dms:Choice">
          <xsd:enumeration value="0506"/>
          <xsd:enumeration value="0607"/>
          <xsd:enumeration value="0708"/>
          <xsd:enumeration value="0809"/>
          <xsd:enumeration value="0910"/>
          <xsd:enumeration value="1011"/>
          <xsd:enumeration value="1112"/>
          <xsd:enumeration value="1213"/>
          <xsd:enumeration value="1314"/>
          <xsd:enumeration value="1415"/>
          <xsd:enumeration value="1516"/>
        </xsd:restriction>
      </xsd:simpleType>
    </xsd:element>
    <xsd:element name="Review_x0020_Date" ma:index="12" nillable="true" ma:displayName="Review Date" ma:format="DateOnly" ma:internalName="Review_x0020_Date">
      <xsd:simpleType>
        <xsd:restriction base="dms:DateTime"/>
      </xsd:simpleType>
    </xsd:element>
    <xsd:element name="Tags" ma:index="13" nillable="true" ma:displayName="Tags" ma:list="{1f8b8bf2-98b3-440d-8cd4-baa0f4471d63}" ma:internalName="Tags" ma:showField="Title" ma:web="a09f2498-df17-455f-91e1-64d5fffae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36b51-465a-4fbb-b1f5-df4dab033244" elementFormDefault="qualified">
    <xsd:import namespace="http://schemas.microsoft.com/office/2006/documentManagement/types"/>
    <xsd:import namespace="http://schemas.microsoft.com/office/infopath/2007/PartnerControls"/>
    <xsd:element name="Activity" ma:index="14" nillable="true" ma:displayName="Activity" ma:default="Projects" ma:format="Dropdown" ma:internalName="Activity">
      <xsd:simpleType>
        <xsd:restriction base="dms:Choice">
          <xsd:enumeration value="Projects"/>
        </xsd:restriction>
      </xsd:simpleType>
    </xsd:element>
    <xsd:element name="Function" ma:index="16" nillable="true" ma:displayName="Function" ma:default="Delivering Products and Services" ma:format="Dropdown" ma:internalName="Function">
      <xsd:simpleType>
        <xsd:restriction base="dms:Choice">
          <xsd:enumeration value="Delivering Products and Services"/>
        </xsd:restriction>
      </xsd:simpleType>
    </xsd:element>
    <xsd:element name="Record_x0020_Type" ma:index="17" nillable="true" ma:displayName="Record Type" ma:default="Normal" ma:format="Dropdown" ma:internalName="Record_x0020_Type">
      <xsd:simpleType>
        <xsd:restriction base="dms:Choice">
          <xsd:enumeration value="Normal"/>
          <xsd:enumeration value="Housekeeping"/>
          <xsd:enumeration value="Long Term"/>
          <xsd:enumeration value="Superseded"/>
          <xsd:enumeration value="Email"/>
        </xsd:restriction>
      </xsd:simpleType>
    </xsd:element>
    <xsd:element name="Reference" ma:index="18" nillable="true" ma:displayName="Reference" ma:internalName="Referen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Record_x0020_Type xmlns="67c36b51-465a-4fbb-b1f5-df4dab033244">Normal</Record_x0020_Type>
    <Review_x0020_Date xmlns="a09f2498-df17-455f-91e1-64d5fffaead3" xsi:nil="true"/>
    <Tags xmlns="a09f2498-df17-455f-91e1-64d5fffaead3"/>
    <Client xmlns="a09f2498-df17-455f-91e1-64d5fffaead3">2</Client>
    <Activity xmlns="67c36b51-465a-4fbb-b1f5-df4dab033244">Projects</Activity>
    <Function xmlns="67c36b51-465a-4fbb-b1f5-df4dab033244">Delivering Products and Services</Function>
    <Document_x0020_Type xmlns="a09f2498-df17-455f-91e1-64d5fffaead3">Document</Document_x0020_Type>
    <Area xmlns="a09f2498-df17-455f-91e1-64d5fffaead3"/>
    <Reference xmlns="67c36b51-465a-4fbb-b1f5-df4dab033244">23</Reference>
    <Financial_x0020_Year xmlns="a09f2498-df17-455f-91e1-64d5fffaead3">1011</Financial_x0020_Year>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E173B-BEF9-4DE8-83B5-015E19DF773E}">
  <ds:schemaRefs>
    <ds:schemaRef ds:uri="http://schemas.microsoft.com/sharepoint/v3/contenttype/forms"/>
  </ds:schemaRefs>
</ds:datastoreItem>
</file>

<file path=customXml/itemProps2.xml><?xml version="1.0" encoding="utf-8"?>
<ds:datastoreItem xmlns:ds="http://schemas.openxmlformats.org/officeDocument/2006/customXml" ds:itemID="{3348204F-B5F7-4E75-88AA-B37011457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f2498-df17-455f-91e1-64d5fffaead3"/>
    <ds:schemaRef ds:uri="67c36b51-465a-4fbb-b1f5-df4dab0332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F20DA8-4DA8-4DCA-BD89-0A31DB6B7C51}">
  <ds:schemaRefs>
    <ds:schemaRef ds:uri="http://schemas.microsoft.com/office/2006/metadata/longProperties"/>
  </ds:schemaRefs>
</ds:datastoreItem>
</file>

<file path=customXml/itemProps4.xml><?xml version="1.0" encoding="utf-8"?>
<ds:datastoreItem xmlns:ds="http://schemas.openxmlformats.org/officeDocument/2006/customXml" ds:itemID="{04DA0998-4FAE-4202-B2F7-8D2BD012298D}">
  <ds:schemaRefs>
    <ds:schemaRef ds:uri="http://schemas.microsoft.com/office/2006/metadata/properties"/>
    <ds:schemaRef ds:uri="http://schemas.microsoft.com/office/infopath/2007/PartnerControls"/>
    <ds:schemaRef ds:uri="67c36b51-465a-4fbb-b1f5-df4dab033244"/>
    <ds:schemaRef ds:uri="a09f2498-df17-455f-91e1-64d5fffaead3"/>
  </ds:schemaRefs>
</ds:datastoreItem>
</file>

<file path=customXml/itemProps5.xml><?xml version="1.0" encoding="utf-8"?>
<ds:datastoreItem xmlns:ds="http://schemas.openxmlformats.org/officeDocument/2006/customXml" ds:itemID="{B88D1975-F6CA-450D-BA0E-8B5E14410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E6FF9A08.dotm</Template>
  <TotalTime>256</TotalTime>
  <Pages>11</Pages>
  <Words>2117</Words>
  <Characters>12070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Landcare Research</Company>
  <LinksUpToDate>false</LinksUpToDate>
  <CharactersWithSpaces>14159</CharactersWithSpaces>
  <SharedDoc>false</SharedDoc>
  <HLinks>
    <vt:vector size="252" baseType="variant">
      <vt:variant>
        <vt:i4>1179711</vt:i4>
      </vt:variant>
      <vt:variant>
        <vt:i4>254</vt:i4>
      </vt:variant>
      <vt:variant>
        <vt:i4>0</vt:i4>
      </vt:variant>
      <vt:variant>
        <vt:i4>5</vt:i4>
      </vt:variant>
      <vt:variant>
        <vt:lpwstr/>
      </vt:variant>
      <vt:variant>
        <vt:lpwstr>_Toc300751932</vt:lpwstr>
      </vt:variant>
      <vt:variant>
        <vt:i4>1179711</vt:i4>
      </vt:variant>
      <vt:variant>
        <vt:i4>248</vt:i4>
      </vt:variant>
      <vt:variant>
        <vt:i4>0</vt:i4>
      </vt:variant>
      <vt:variant>
        <vt:i4>5</vt:i4>
      </vt:variant>
      <vt:variant>
        <vt:lpwstr/>
      </vt:variant>
      <vt:variant>
        <vt:lpwstr>_Toc300751931</vt:lpwstr>
      </vt:variant>
      <vt:variant>
        <vt:i4>1179711</vt:i4>
      </vt:variant>
      <vt:variant>
        <vt:i4>242</vt:i4>
      </vt:variant>
      <vt:variant>
        <vt:i4>0</vt:i4>
      </vt:variant>
      <vt:variant>
        <vt:i4>5</vt:i4>
      </vt:variant>
      <vt:variant>
        <vt:lpwstr/>
      </vt:variant>
      <vt:variant>
        <vt:lpwstr>_Toc300751930</vt:lpwstr>
      </vt:variant>
      <vt:variant>
        <vt:i4>1245247</vt:i4>
      </vt:variant>
      <vt:variant>
        <vt:i4>236</vt:i4>
      </vt:variant>
      <vt:variant>
        <vt:i4>0</vt:i4>
      </vt:variant>
      <vt:variant>
        <vt:i4>5</vt:i4>
      </vt:variant>
      <vt:variant>
        <vt:lpwstr/>
      </vt:variant>
      <vt:variant>
        <vt:lpwstr>_Toc300751929</vt:lpwstr>
      </vt:variant>
      <vt:variant>
        <vt:i4>1245247</vt:i4>
      </vt:variant>
      <vt:variant>
        <vt:i4>230</vt:i4>
      </vt:variant>
      <vt:variant>
        <vt:i4>0</vt:i4>
      </vt:variant>
      <vt:variant>
        <vt:i4>5</vt:i4>
      </vt:variant>
      <vt:variant>
        <vt:lpwstr/>
      </vt:variant>
      <vt:variant>
        <vt:lpwstr>_Toc300751928</vt:lpwstr>
      </vt:variant>
      <vt:variant>
        <vt:i4>1245247</vt:i4>
      </vt:variant>
      <vt:variant>
        <vt:i4>224</vt:i4>
      </vt:variant>
      <vt:variant>
        <vt:i4>0</vt:i4>
      </vt:variant>
      <vt:variant>
        <vt:i4>5</vt:i4>
      </vt:variant>
      <vt:variant>
        <vt:lpwstr/>
      </vt:variant>
      <vt:variant>
        <vt:lpwstr>_Toc300751927</vt:lpwstr>
      </vt:variant>
      <vt:variant>
        <vt:i4>1245247</vt:i4>
      </vt:variant>
      <vt:variant>
        <vt:i4>218</vt:i4>
      </vt:variant>
      <vt:variant>
        <vt:i4>0</vt:i4>
      </vt:variant>
      <vt:variant>
        <vt:i4>5</vt:i4>
      </vt:variant>
      <vt:variant>
        <vt:lpwstr/>
      </vt:variant>
      <vt:variant>
        <vt:lpwstr>_Toc300751926</vt:lpwstr>
      </vt:variant>
      <vt:variant>
        <vt:i4>1048628</vt:i4>
      </vt:variant>
      <vt:variant>
        <vt:i4>209</vt:i4>
      </vt:variant>
      <vt:variant>
        <vt:i4>0</vt:i4>
      </vt:variant>
      <vt:variant>
        <vt:i4>5</vt:i4>
      </vt:variant>
      <vt:variant>
        <vt:lpwstr/>
      </vt:variant>
      <vt:variant>
        <vt:lpwstr>_Toc300752220</vt:lpwstr>
      </vt:variant>
      <vt:variant>
        <vt:i4>1245236</vt:i4>
      </vt:variant>
      <vt:variant>
        <vt:i4>203</vt:i4>
      </vt:variant>
      <vt:variant>
        <vt:i4>0</vt:i4>
      </vt:variant>
      <vt:variant>
        <vt:i4>5</vt:i4>
      </vt:variant>
      <vt:variant>
        <vt:lpwstr/>
      </vt:variant>
      <vt:variant>
        <vt:lpwstr>_Toc300752219</vt:lpwstr>
      </vt:variant>
      <vt:variant>
        <vt:i4>1245236</vt:i4>
      </vt:variant>
      <vt:variant>
        <vt:i4>197</vt:i4>
      </vt:variant>
      <vt:variant>
        <vt:i4>0</vt:i4>
      </vt:variant>
      <vt:variant>
        <vt:i4>5</vt:i4>
      </vt:variant>
      <vt:variant>
        <vt:lpwstr/>
      </vt:variant>
      <vt:variant>
        <vt:lpwstr>_Toc300752218</vt:lpwstr>
      </vt:variant>
      <vt:variant>
        <vt:i4>1245236</vt:i4>
      </vt:variant>
      <vt:variant>
        <vt:i4>191</vt:i4>
      </vt:variant>
      <vt:variant>
        <vt:i4>0</vt:i4>
      </vt:variant>
      <vt:variant>
        <vt:i4>5</vt:i4>
      </vt:variant>
      <vt:variant>
        <vt:lpwstr/>
      </vt:variant>
      <vt:variant>
        <vt:lpwstr>_Toc300752217</vt:lpwstr>
      </vt:variant>
      <vt:variant>
        <vt:i4>1245236</vt:i4>
      </vt:variant>
      <vt:variant>
        <vt:i4>185</vt:i4>
      </vt:variant>
      <vt:variant>
        <vt:i4>0</vt:i4>
      </vt:variant>
      <vt:variant>
        <vt:i4>5</vt:i4>
      </vt:variant>
      <vt:variant>
        <vt:lpwstr/>
      </vt:variant>
      <vt:variant>
        <vt:lpwstr>_Toc300752216</vt:lpwstr>
      </vt:variant>
      <vt:variant>
        <vt:i4>1245236</vt:i4>
      </vt:variant>
      <vt:variant>
        <vt:i4>179</vt:i4>
      </vt:variant>
      <vt:variant>
        <vt:i4>0</vt:i4>
      </vt:variant>
      <vt:variant>
        <vt:i4>5</vt:i4>
      </vt:variant>
      <vt:variant>
        <vt:lpwstr/>
      </vt:variant>
      <vt:variant>
        <vt:lpwstr>_Toc300752215</vt:lpwstr>
      </vt:variant>
      <vt:variant>
        <vt:i4>1245236</vt:i4>
      </vt:variant>
      <vt:variant>
        <vt:i4>173</vt:i4>
      </vt:variant>
      <vt:variant>
        <vt:i4>0</vt:i4>
      </vt:variant>
      <vt:variant>
        <vt:i4>5</vt:i4>
      </vt:variant>
      <vt:variant>
        <vt:lpwstr/>
      </vt:variant>
      <vt:variant>
        <vt:lpwstr>_Toc300752214</vt:lpwstr>
      </vt:variant>
      <vt:variant>
        <vt:i4>1245236</vt:i4>
      </vt:variant>
      <vt:variant>
        <vt:i4>167</vt:i4>
      </vt:variant>
      <vt:variant>
        <vt:i4>0</vt:i4>
      </vt:variant>
      <vt:variant>
        <vt:i4>5</vt:i4>
      </vt:variant>
      <vt:variant>
        <vt:lpwstr/>
      </vt:variant>
      <vt:variant>
        <vt:lpwstr>_Toc300752213</vt:lpwstr>
      </vt:variant>
      <vt:variant>
        <vt:i4>1245236</vt:i4>
      </vt:variant>
      <vt:variant>
        <vt:i4>161</vt:i4>
      </vt:variant>
      <vt:variant>
        <vt:i4>0</vt:i4>
      </vt:variant>
      <vt:variant>
        <vt:i4>5</vt:i4>
      </vt:variant>
      <vt:variant>
        <vt:lpwstr/>
      </vt:variant>
      <vt:variant>
        <vt:lpwstr>_Toc300752212</vt:lpwstr>
      </vt:variant>
      <vt:variant>
        <vt:i4>1245236</vt:i4>
      </vt:variant>
      <vt:variant>
        <vt:i4>155</vt:i4>
      </vt:variant>
      <vt:variant>
        <vt:i4>0</vt:i4>
      </vt:variant>
      <vt:variant>
        <vt:i4>5</vt:i4>
      </vt:variant>
      <vt:variant>
        <vt:lpwstr/>
      </vt:variant>
      <vt:variant>
        <vt:lpwstr>_Toc300752211</vt:lpwstr>
      </vt:variant>
      <vt:variant>
        <vt:i4>1245236</vt:i4>
      </vt:variant>
      <vt:variant>
        <vt:i4>149</vt:i4>
      </vt:variant>
      <vt:variant>
        <vt:i4>0</vt:i4>
      </vt:variant>
      <vt:variant>
        <vt:i4>5</vt:i4>
      </vt:variant>
      <vt:variant>
        <vt:lpwstr/>
      </vt:variant>
      <vt:variant>
        <vt:lpwstr>_Toc300752210</vt:lpwstr>
      </vt:variant>
      <vt:variant>
        <vt:i4>1179700</vt:i4>
      </vt:variant>
      <vt:variant>
        <vt:i4>143</vt:i4>
      </vt:variant>
      <vt:variant>
        <vt:i4>0</vt:i4>
      </vt:variant>
      <vt:variant>
        <vt:i4>5</vt:i4>
      </vt:variant>
      <vt:variant>
        <vt:lpwstr/>
      </vt:variant>
      <vt:variant>
        <vt:lpwstr>_Toc300752209</vt:lpwstr>
      </vt:variant>
      <vt:variant>
        <vt:i4>1179700</vt:i4>
      </vt:variant>
      <vt:variant>
        <vt:i4>137</vt:i4>
      </vt:variant>
      <vt:variant>
        <vt:i4>0</vt:i4>
      </vt:variant>
      <vt:variant>
        <vt:i4>5</vt:i4>
      </vt:variant>
      <vt:variant>
        <vt:lpwstr/>
      </vt:variant>
      <vt:variant>
        <vt:lpwstr>_Toc300752208</vt:lpwstr>
      </vt:variant>
      <vt:variant>
        <vt:i4>1179700</vt:i4>
      </vt:variant>
      <vt:variant>
        <vt:i4>131</vt:i4>
      </vt:variant>
      <vt:variant>
        <vt:i4>0</vt:i4>
      </vt:variant>
      <vt:variant>
        <vt:i4>5</vt:i4>
      </vt:variant>
      <vt:variant>
        <vt:lpwstr/>
      </vt:variant>
      <vt:variant>
        <vt:lpwstr>_Toc300752207</vt:lpwstr>
      </vt:variant>
      <vt:variant>
        <vt:i4>1114165</vt:i4>
      </vt:variant>
      <vt:variant>
        <vt:i4>122</vt:i4>
      </vt:variant>
      <vt:variant>
        <vt:i4>0</vt:i4>
      </vt:variant>
      <vt:variant>
        <vt:i4>5</vt:i4>
      </vt:variant>
      <vt:variant>
        <vt:lpwstr/>
      </vt:variant>
      <vt:variant>
        <vt:lpwstr>_Toc300752339</vt:lpwstr>
      </vt:variant>
      <vt:variant>
        <vt:i4>1114165</vt:i4>
      </vt:variant>
      <vt:variant>
        <vt:i4>116</vt:i4>
      </vt:variant>
      <vt:variant>
        <vt:i4>0</vt:i4>
      </vt:variant>
      <vt:variant>
        <vt:i4>5</vt:i4>
      </vt:variant>
      <vt:variant>
        <vt:lpwstr/>
      </vt:variant>
      <vt:variant>
        <vt:lpwstr>_Toc300752338</vt:lpwstr>
      </vt:variant>
      <vt:variant>
        <vt:i4>1114165</vt:i4>
      </vt:variant>
      <vt:variant>
        <vt:i4>110</vt:i4>
      </vt:variant>
      <vt:variant>
        <vt:i4>0</vt:i4>
      </vt:variant>
      <vt:variant>
        <vt:i4>5</vt:i4>
      </vt:variant>
      <vt:variant>
        <vt:lpwstr/>
      </vt:variant>
      <vt:variant>
        <vt:lpwstr>_Toc300752337</vt:lpwstr>
      </vt:variant>
      <vt:variant>
        <vt:i4>1114165</vt:i4>
      </vt:variant>
      <vt:variant>
        <vt:i4>104</vt:i4>
      </vt:variant>
      <vt:variant>
        <vt:i4>0</vt:i4>
      </vt:variant>
      <vt:variant>
        <vt:i4>5</vt:i4>
      </vt:variant>
      <vt:variant>
        <vt:lpwstr/>
      </vt:variant>
      <vt:variant>
        <vt:lpwstr>_Toc300752336</vt:lpwstr>
      </vt:variant>
      <vt:variant>
        <vt:i4>1114165</vt:i4>
      </vt:variant>
      <vt:variant>
        <vt:i4>98</vt:i4>
      </vt:variant>
      <vt:variant>
        <vt:i4>0</vt:i4>
      </vt:variant>
      <vt:variant>
        <vt:i4>5</vt:i4>
      </vt:variant>
      <vt:variant>
        <vt:lpwstr/>
      </vt:variant>
      <vt:variant>
        <vt:lpwstr>_Toc300752335</vt:lpwstr>
      </vt:variant>
      <vt:variant>
        <vt:i4>1114165</vt:i4>
      </vt:variant>
      <vt:variant>
        <vt:i4>92</vt:i4>
      </vt:variant>
      <vt:variant>
        <vt:i4>0</vt:i4>
      </vt:variant>
      <vt:variant>
        <vt:i4>5</vt:i4>
      </vt:variant>
      <vt:variant>
        <vt:lpwstr/>
      </vt:variant>
      <vt:variant>
        <vt:lpwstr>_Toc300752334</vt:lpwstr>
      </vt:variant>
      <vt:variant>
        <vt:i4>1114165</vt:i4>
      </vt:variant>
      <vt:variant>
        <vt:i4>86</vt:i4>
      </vt:variant>
      <vt:variant>
        <vt:i4>0</vt:i4>
      </vt:variant>
      <vt:variant>
        <vt:i4>5</vt:i4>
      </vt:variant>
      <vt:variant>
        <vt:lpwstr/>
      </vt:variant>
      <vt:variant>
        <vt:lpwstr>_Toc300752333</vt:lpwstr>
      </vt:variant>
      <vt:variant>
        <vt:i4>1114165</vt:i4>
      </vt:variant>
      <vt:variant>
        <vt:i4>80</vt:i4>
      </vt:variant>
      <vt:variant>
        <vt:i4>0</vt:i4>
      </vt:variant>
      <vt:variant>
        <vt:i4>5</vt:i4>
      </vt:variant>
      <vt:variant>
        <vt:lpwstr/>
      </vt:variant>
      <vt:variant>
        <vt:lpwstr>_Toc300752332</vt:lpwstr>
      </vt:variant>
      <vt:variant>
        <vt:i4>1114165</vt:i4>
      </vt:variant>
      <vt:variant>
        <vt:i4>74</vt:i4>
      </vt:variant>
      <vt:variant>
        <vt:i4>0</vt:i4>
      </vt:variant>
      <vt:variant>
        <vt:i4>5</vt:i4>
      </vt:variant>
      <vt:variant>
        <vt:lpwstr/>
      </vt:variant>
      <vt:variant>
        <vt:lpwstr>_Toc300752331</vt:lpwstr>
      </vt:variant>
      <vt:variant>
        <vt:i4>1114165</vt:i4>
      </vt:variant>
      <vt:variant>
        <vt:i4>68</vt:i4>
      </vt:variant>
      <vt:variant>
        <vt:i4>0</vt:i4>
      </vt:variant>
      <vt:variant>
        <vt:i4>5</vt:i4>
      </vt:variant>
      <vt:variant>
        <vt:lpwstr/>
      </vt:variant>
      <vt:variant>
        <vt:lpwstr>_Toc300752330</vt:lpwstr>
      </vt:variant>
      <vt:variant>
        <vt:i4>1048629</vt:i4>
      </vt:variant>
      <vt:variant>
        <vt:i4>62</vt:i4>
      </vt:variant>
      <vt:variant>
        <vt:i4>0</vt:i4>
      </vt:variant>
      <vt:variant>
        <vt:i4>5</vt:i4>
      </vt:variant>
      <vt:variant>
        <vt:lpwstr/>
      </vt:variant>
      <vt:variant>
        <vt:lpwstr>_Toc300752329</vt:lpwstr>
      </vt:variant>
      <vt:variant>
        <vt:i4>1048629</vt:i4>
      </vt:variant>
      <vt:variant>
        <vt:i4>56</vt:i4>
      </vt:variant>
      <vt:variant>
        <vt:i4>0</vt:i4>
      </vt:variant>
      <vt:variant>
        <vt:i4>5</vt:i4>
      </vt:variant>
      <vt:variant>
        <vt:lpwstr/>
      </vt:variant>
      <vt:variant>
        <vt:lpwstr>_Toc300752328</vt:lpwstr>
      </vt:variant>
      <vt:variant>
        <vt:i4>1048629</vt:i4>
      </vt:variant>
      <vt:variant>
        <vt:i4>50</vt:i4>
      </vt:variant>
      <vt:variant>
        <vt:i4>0</vt:i4>
      </vt:variant>
      <vt:variant>
        <vt:i4>5</vt:i4>
      </vt:variant>
      <vt:variant>
        <vt:lpwstr/>
      </vt:variant>
      <vt:variant>
        <vt:lpwstr>_Toc300752327</vt:lpwstr>
      </vt:variant>
      <vt:variant>
        <vt:i4>1048629</vt:i4>
      </vt:variant>
      <vt:variant>
        <vt:i4>44</vt:i4>
      </vt:variant>
      <vt:variant>
        <vt:i4>0</vt:i4>
      </vt:variant>
      <vt:variant>
        <vt:i4>5</vt:i4>
      </vt:variant>
      <vt:variant>
        <vt:lpwstr/>
      </vt:variant>
      <vt:variant>
        <vt:lpwstr>_Toc300752326</vt:lpwstr>
      </vt:variant>
      <vt:variant>
        <vt:i4>1048629</vt:i4>
      </vt:variant>
      <vt:variant>
        <vt:i4>38</vt:i4>
      </vt:variant>
      <vt:variant>
        <vt:i4>0</vt:i4>
      </vt:variant>
      <vt:variant>
        <vt:i4>5</vt:i4>
      </vt:variant>
      <vt:variant>
        <vt:lpwstr/>
      </vt:variant>
      <vt:variant>
        <vt:lpwstr>_Toc300752325</vt:lpwstr>
      </vt:variant>
      <vt:variant>
        <vt:i4>1048629</vt:i4>
      </vt:variant>
      <vt:variant>
        <vt:i4>32</vt:i4>
      </vt:variant>
      <vt:variant>
        <vt:i4>0</vt:i4>
      </vt:variant>
      <vt:variant>
        <vt:i4>5</vt:i4>
      </vt:variant>
      <vt:variant>
        <vt:lpwstr/>
      </vt:variant>
      <vt:variant>
        <vt:lpwstr>_Toc300752324</vt:lpwstr>
      </vt:variant>
      <vt:variant>
        <vt:i4>1048629</vt:i4>
      </vt:variant>
      <vt:variant>
        <vt:i4>26</vt:i4>
      </vt:variant>
      <vt:variant>
        <vt:i4>0</vt:i4>
      </vt:variant>
      <vt:variant>
        <vt:i4>5</vt:i4>
      </vt:variant>
      <vt:variant>
        <vt:lpwstr/>
      </vt:variant>
      <vt:variant>
        <vt:lpwstr>_Toc300752323</vt:lpwstr>
      </vt:variant>
      <vt:variant>
        <vt:i4>1048629</vt:i4>
      </vt:variant>
      <vt:variant>
        <vt:i4>20</vt:i4>
      </vt:variant>
      <vt:variant>
        <vt:i4>0</vt:i4>
      </vt:variant>
      <vt:variant>
        <vt:i4>5</vt:i4>
      </vt:variant>
      <vt:variant>
        <vt:lpwstr/>
      </vt:variant>
      <vt:variant>
        <vt:lpwstr>_Toc300752322</vt:lpwstr>
      </vt:variant>
      <vt:variant>
        <vt:i4>1048629</vt:i4>
      </vt:variant>
      <vt:variant>
        <vt:i4>14</vt:i4>
      </vt:variant>
      <vt:variant>
        <vt:i4>0</vt:i4>
      </vt:variant>
      <vt:variant>
        <vt:i4>5</vt:i4>
      </vt:variant>
      <vt:variant>
        <vt:lpwstr/>
      </vt:variant>
      <vt:variant>
        <vt:lpwstr>_Toc300752321</vt:lpwstr>
      </vt:variant>
      <vt:variant>
        <vt:i4>1048629</vt:i4>
      </vt:variant>
      <vt:variant>
        <vt:i4>8</vt:i4>
      </vt:variant>
      <vt:variant>
        <vt:i4>0</vt:i4>
      </vt:variant>
      <vt:variant>
        <vt:i4>5</vt:i4>
      </vt:variant>
      <vt:variant>
        <vt:lpwstr/>
      </vt:variant>
      <vt:variant>
        <vt:lpwstr>_Toc300752320</vt:lpwstr>
      </vt:variant>
      <vt:variant>
        <vt:i4>1245237</vt:i4>
      </vt:variant>
      <vt:variant>
        <vt:i4>2</vt:i4>
      </vt:variant>
      <vt:variant>
        <vt:i4>0</vt:i4>
      </vt:variant>
      <vt:variant>
        <vt:i4>5</vt:i4>
      </vt:variant>
      <vt:variant>
        <vt:lpwstr/>
      </vt:variant>
      <vt:variant>
        <vt:lpwstr>_Toc300752319</vt:lpwstr>
      </vt:variant>
    </vt:vector>
  </HLinks>
  <HyperlinksChanged>false</HyperlinksChanged>
  <AppVersion>14.0000</AppVersion>
</Properties>
</file>

<file path=docProps/core.xml><?xml version="1.0" encoding="utf-8"?>
<coreProperties xmlns:dc="http://purl.org/dc/elements/1.1/" xmlns:dcterms="http://purl.org/dc/terms/" xmlns:xsi="http://www.w3.org/2001/XMLSchema-instance" xmlns="http://schemas.openxmlformats.org/package/2006/metadata/core-properties">
  <dc:creator>Your User Name</dc:creator>
  <lastModifiedBy>Brent Martin</lastModifiedBy>
  <revision>110</revision>
  <lastPrinted>2011-08-10T02:24:00.0000000Z</lastPrinted>
  <dcterms:created xsi:type="dcterms:W3CDTF">2014-09-01T04:49:00.0000000Z</dcterms:created>
  <dcterms:modified xsi:type="dcterms:W3CDTF">2018-06-12T23:11:48.1098787Z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rdType">
    <vt:lpwstr>Normal</vt:lpwstr>
  </property>
  <property fmtid="{D5CDD505-2E9C-101B-9397-08002B2CF9AE}" pid="3" name="Comments1">
    <vt:lpwstr/>
  </property>
  <property fmtid="{D5CDD505-2E9C-101B-9397-08002B2CF9AE}" pid="4" name="Live">
    <vt:lpwstr>1</vt:lpwstr>
  </property>
  <property fmtid="{D5CDD505-2E9C-101B-9397-08002B2CF9AE}" pid="5" name="ContentType">
    <vt:lpwstr>Standard Document</vt:lpwstr>
  </property>
  <property fmtid="{D5CDD505-2E9C-101B-9397-08002B2CF9AE}" pid="6" name="Landcare Reference">
    <vt:lpwstr/>
  </property>
  <property fmtid="{D5CDD505-2E9C-101B-9397-08002B2CF9AE}" pid="7" name="display_urn:schemas-microsoft-com:office:office#Editor">
    <vt:lpwstr>Austin Hansell</vt:lpwstr>
  </property>
  <property fmtid="{D5CDD505-2E9C-101B-9397-08002B2CF9AE}" pid="8" name="display_urn:schemas-microsoft-com:office:office#Author">
    <vt:lpwstr>CommVault SharePoint</vt:lpwstr>
  </property>
  <property fmtid="{D5CDD505-2E9C-101B-9397-08002B2CF9AE}" pid="9" name="Order">
    <vt:lpwstr>1177400.00000000</vt:lpwstr>
  </property>
</Properties>
</file>